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黑体" w:hAnsi="黑体" w:eastAsia="黑体"/>
          <w:sz w:val="44"/>
          <w:szCs w:val="44"/>
        </w:rPr>
      </w:pPr>
      <w:r>
        <w:rPr>
          <w:rFonts w:hint="eastAsia" w:ascii="黑体" w:hAnsi="黑体" w:eastAsia="黑体"/>
          <w:sz w:val="44"/>
          <w:szCs w:val="44"/>
        </w:rPr>
        <w:t>土壤污染重点监管单位有毒有害物质</w:t>
      </w:r>
    </w:p>
    <w:p>
      <w:pPr>
        <w:jc w:val="center"/>
        <w:rPr>
          <w:rFonts w:ascii="黑体" w:hAnsi="黑体" w:eastAsia="黑体"/>
          <w:sz w:val="44"/>
          <w:szCs w:val="44"/>
        </w:rPr>
      </w:pPr>
      <w:r>
        <w:rPr>
          <w:rFonts w:hint="eastAsia" w:ascii="黑体" w:hAnsi="黑体" w:eastAsia="黑体"/>
          <w:sz w:val="44"/>
          <w:szCs w:val="44"/>
        </w:rPr>
        <w:t>排放报告表</w:t>
      </w:r>
    </w:p>
    <w:p>
      <w:pPr>
        <w:jc w:val="center"/>
        <w:rPr>
          <w:rFonts w:ascii="黑体" w:hAnsi="黑体" w:eastAsia="黑体"/>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方正小标宋_GBK" w:eastAsia="方正小标宋_GBK"/>
          <w:sz w:val="44"/>
          <w:szCs w:val="44"/>
        </w:rPr>
      </w:pPr>
    </w:p>
    <w:p>
      <w:pPr>
        <w:jc w:val="center"/>
        <w:rPr>
          <w:rFonts w:ascii="黑体" w:hAnsi="黑体" w:eastAsia="黑体"/>
          <w:sz w:val="32"/>
          <w:szCs w:val="44"/>
        </w:rPr>
      </w:pPr>
      <w:r>
        <w:rPr>
          <w:rFonts w:hint="eastAsia" w:ascii="黑体" w:hAnsi="黑体" w:eastAsia="黑体"/>
          <w:sz w:val="32"/>
          <w:szCs w:val="44"/>
        </w:rPr>
        <w:t>企业名称：</w:t>
      </w:r>
      <w:r>
        <w:rPr>
          <w:rFonts w:hint="eastAsia" w:ascii="黑体" w:hAnsi="黑体" w:eastAsia="黑体"/>
          <w:sz w:val="32"/>
          <w:szCs w:val="44"/>
          <w:u w:val="single"/>
          <w:lang w:val="en-US" w:eastAsia="zh-CN"/>
        </w:rPr>
        <w:t>苏州钢特威钢管有限公司</w:t>
      </w:r>
      <w:r>
        <w:rPr>
          <w:rFonts w:ascii="黑体" w:hAnsi="黑体" w:eastAsia="黑体"/>
          <w:sz w:val="32"/>
          <w:szCs w:val="44"/>
          <w:u w:val="single"/>
        </w:rPr>
        <w:t xml:space="preserve">  </w:t>
      </w:r>
      <w:r>
        <w:rPr>
          <w:rFonts w:hint="eastAsia" w:ascii="黑体" w:hAnsi="黑体" w:eastAsia="黑体"/>
          <w:sz w:val="32"/>
          <w:szCs w:val="44"/>
        </w:rPr>
        <w:t>（盖章）</w:t>
      </w:r>
    </w:p>
    <w:p>
      <w:pPr>
        <w:ind w:firstLine="960" w:firstLineChars="300"/>
        <w:jc w:val="both"/>
        <w:rPr>
          <w:rFonts w:hint="default" w:ascii="黑体" w:hAnsi="黑体" w:eastAsia="黑体"/>
          <w:sz w:val="32"/>
          <w:szCs w:val="44"/>
          <w:u w:val="singl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黑体" w:hAnsi="黑体" w:eastAsia="黑体"/>
          <w:sz w:val="32"/>
          <w:szCs w:val="44"/>
        </w:rPr>
        <w:t>填报日期：</w:t>
      </w:r>
      <w:r>
        <w:rPr>
          <w:rFonts w:hint="eastAsia" w:ascii="黑体" w:hAnsi="黑体" w:eastAsia="黑体"/>
          <w:sz w:val="32"/>
          <w:szCs w:val="44"/>
          <w:u w:val="single"/>
          <w:lang w:val="en-US" w:eastAsia="zh-CN"/>
        </w:rPr>
        <w:t xml:space="preserve"> 2020年12月5日     </w:t>
      </w:r>
    </w:p>
    <w:p>
      <w:pPr>
        <w:adjustRightInd w:val="0"/>
        <w:snapToGrid w:val="0"/>
        <w:spacing w:line="360" w:lineRule="auto"/>
        <w:jc w:val="center"/>
        <w:rPr>
          <w:rFonts w:ascii="黑体" w:hAnsi="黑体" w:eastAsia="黑体"/>
          <w:sz w:val="40"/>
          <w:szCs w:val="40"/>
        </w:rPr>
      </w:pPr>
      <w:r>
        <w:rPr>
          <w:rFonts w:hint="eastAsia" w:ascii="黑体" w:hAnsi="黑体" w:eastAsia="黑体"/>
          <w:sz w:val="40"/>
          <w:szCs w:val="40"/>
        </w:rPr>
        <w:t>填写说明</w:t>
      </w:r>
    </w:p>
    <w:p>
      <w:pPr>
        <w:adjustRightInd w:val="0"/>
        <w:snapToGrid w:val="0"/>
        <w:spacing w:before="312" w:beforeLines="100" w:line="360" w:lineRule="auto"/>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一、</w:t>
      </w:r>
      <w:r>
        <w:rPr>
          <w:rFonts w:ascii="Times New Roman" w:hAnsi="Times New Roman" w:eastAsia="黑体" w:cs="Times New Roman"/>
          <w:sz w:val="28"/>
          <w:szCs w:val="28"/>
        </w:rPr>
        <w:t>《中华人民共和国土壤污染防治法》第二十一条规定</w:t>
      </w:r>
      <w:r>
        <w:rPr>
          <w:rFonts w:hint="eastAsia" w:ascii="Times New Roman" w:hAnsi="Times New Roman" w:eastAsia="黑体" w:cs="Times New Roman"/>
          <w:sz w:val="28"/>
          <w:szCs w:val="28"/>
        </w:rPr>
        <w:t>。</w:t>
      </w:r>
    </w:p>
    <w:p>
      <w:pPr>
        <w:adjustRightInd w:val="0"/>
        <w:snapToGrid w:val="0"/>
        <w:spacing w:line="360" w:lineRule="auto"/>
        <w:ind w:firstLine="560"/>
        <w:rPr>
          <w:rFonts w:ascii="Times New Roman" w:hAnsi="Times New Roman" w:eastAsia="仿宋" w:cs="Times New Roman"/>
          <w:sz w:val="28"/>
          <w:szCs w:val="28"/>
        </w:rPr>
      </w:pPr>
      <w:r>
        <w:rPr>
          <w:rFonts w:hint="eastAsia" w:ascii="Times New Roman" w:hAnsi="Times New Roman" w:eastAsia="仿宋" w:cs="Times New Roman"/>
          <w:sz w:val="28"/>
          <w:szCs w:val="28"/>
        </w:rPr>
        <w:t>（1</w:t>
      </w:r>
      <w:r>
        <w:rPr>
          <w:rFonts w:ascii="Times New Roman" w:hAnsi="Times New Roman" w:eastAsia="仿宋" w:cs="Times New Roman"/>
          <w:sz w:val="28"/>
          <w:szCs w:val="28"/>
        </w:rPr>
        <w:t>）设区的市级以上地方人民政府生态环境主管部门应当按照国务院生态环境主管部门的规定，根据有毒有害物质排放等情况，制定本行政区域土壤污染重点监管单位名录，向社会公开并适时更新。</w:t>
      </w:r>
    </w:p>
    <w:p>
      <w:pPr>
        <w:adjustRightInd w:val="0"/>
        <w:snapToGrid w:val="0"/>
        <w:spacing w:line="360" w:lineRule="auto"/>
        <w:ind w:firstLine="560"/>
        <w:rPr>
          <w:rFonts w:ascii="Times New Roman" w:hAnsi="Times New Roman" w:eastAsia="仿宋" w:cs="Times New Roman"/>
          <w:sz w:val="28"/>
          <w:szCs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土壤污染重点监管单位应当履行下列义务：严格控制有毒有害物质排放，并按年度向生态环境主管部门报告排放情况。</w:t>
      </w:r>
    </w:p>
    <w:p>
      <w:pPr>
        <w:adjustRightInd w:val="0"/>
        <w:snapToGrid w:val="0"/>
        <w:spacing w:before="312" w:beforeLines="100" w:line="360" w:lineRule="auto"/>
        <w:ind w:firstLine="560" w:firstLineChars="200"/>
        <w:rPr>
          <w:rFonts w:ascii="Times New Roman" w:hAnsi="Times New Roman" w:eastAsia="黑体" w:cs="Times New Roman"/>
          <w:sz w:val="28"/>
          <w:szCs w:val="28"/>
        </w:rPr>
      </w:pPr>
      <w:r>
        <w:rPr>
          <w:rFonts w:hint="eastAsia" w:ascii="Times New Roman" w:hAnsi="Times New Roman" w:eastAsia="黑体" w:cs="Times New Roman"/>
          <w:sz w:val="28"/>
          <w:szCs w:val="28"/>
        </w:rPr>
        <w:t>二、“</w:t>
      </w:r>
      <w:r>
        <w:rPr>
          <w:rFonts w:ascii="Times New Roman" w:hAnsi="Times New Roman" w:eastAsia="黑体" w:cs="Times New Roman"/>
          <w:sz w:val="28"/>
          <w:szCs w:val="28"/>
        </w:rPr>
        <w:t>有毒有害物质</w:t>
      </w:r>
      <w:r>
        <w:rPr>
          <w:rFonts w:hint="eastAsia" w:ascii="Times New Roman" w:hAnsi="Times New Roman" w:eastAsia="黑体" w:cs="Times New Roman"/>
          <w:sz w:val="28"/>
          <w:szCs w:val="28"/>
        </w:rPr>
        <w:t>”</w:t>
      </w:r>
      <w:r>
        <w:rPr>
          <w:rFonts w:ascii="Times New Roman" w:hAnsi="Times New Roman" w:eastAsia="黑体" w:cs="Times New Roman"/>
          <w:sz w:val="28"/>
          <w:szCs w:val="28"/>
        </w:rPr>
        <w:t>是指对公众健康、生态环境有危害和不良影响的物质，包含天然有毒有害物质和人工合成有毒有害物质。《工矿用地土壤环境管理办法（试行）》</w:t>
      </w:r>
      <w:r>
        <w:rPr>
          <w:rFonts w:hint="eastAsia" w:ascii="Times New Roman" w:hAnsi="Times New Roman" w:eastAsia="黑体" w:cs="Times New Roman"/>
          <w:sz w:val="28"/>
          <w:szCs w:val="28"/>
        </w:rPr>
        <w:t>明确“</w:t>
      </w:r>
      <w:r>
        <w:rPr>
          <w:rFonts w:ascii="Times New Roman" w:hAnsi="Times New Roman" w:eastAsia="黑体" w:cs="Times New Roman"/>
          <w:sz w:val="28"/>
          <w:szCs w:val="28"/>
        </w:rPr>
        <w:t>有毒有害物质</w:t>
      </w:r>
      <w:r>
        <w:rPr>
          <w:rFonts w:hint="eastAsia" w:ascii="Times New Roman" w:hAnsi="Times New Roman" w:eastAsia="黑体" w:cs="Times New Roman"/>
          <w:sz w:val="28"/>
          <w:szCs w:val="28"/>
        </w:rPr>
        <w:t>”</w:t>
      </w:r>
      <w:r>
        <w:rPr>
          <w:rFonts w:ascii="Times New Roman" w:hAnsi="Times New Roman" w:eastAsia="黑体" w:cs="Times New Roman"/>
          <w:sz w:val="28"/>
          <w:szCs w:val="28"/>
        </w:rPr>
        <w:t>指下列物质</w:t>
      </w:r>
      <w:r>
        <w:rPr>
          <w:rFonts w:hint="eastAsia" w:ascii="Times New Roman" w:hAnsi="Times New Roman" w:eastAsia="黑体" w:cs="Times New Roman"/>
          <w:sz w:val="28"/>
          <w:szCs w:val="28"/>
        </w:rPr>
        <w:t>。</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（1）列入《中华人民共和国水污染防治法》规定的有毒有害水污染物名录的污染物。</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（2）列入《中华人民共和国大气污染防治法》规定的有毒有害大气污染物名录的污染物。</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（3）《中华人民共和国固体废物污染环境防治法》规定的危险废物。</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（4）国家和地方建设用地土壤污染风险管控标准管控的污染物（包含GB36600规定的85个项目等）。</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（5）列入优先控制化学品名录内的物质（第一批优先控制化学品名录22个）</w:t>
      </w:r>
      <w:r>
        <w:rPr>
          <w:rFonts w:hint="eastAsia" w:ascii="Times New Roman" w:hAnsi="Times New Roman" w:eastAsia="仿宋" w:cs="Times New Roman"/>
          <w:sz w:val="28"/>
          <w:szCs w:val="28"/>
        </w:rPr>
        <w:t>。</w:t>
      </w:r>
    </w:p>
    <w:p>
      <w:pPr>
        <w:adjustRightInd w:val="0"/>
        <w:snapToGrid w:val="0"/>
        <w:spacing w:line="360" w:lineRule="auto"/>
        <w:ind w:firstLine="560" w:firstLineChars="200"/>
        <w:rPr>
          <w:rFonts w:ascii="方正小标宋_GBK" w:eastAsia="方正小标宋_GBK"/>
          <w:sz w:val="44"/>
          <w:szCs w:val="44"/>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eastAsia="仿宋" w:cs="Times New Roman"/>
          <w:sz w:val="28"/>
          <w:szCs w:val="28"/>
        </w:rPr>
        <w:t>（6）其他根据国家法律有关规定应当纳入有毒有害物质管理的物质。</w:t>
      </w:r>
      <w:r>
        <w:rPr>
          <w:rFonts w:ascii="方正小标宋_GBK" w:eastAsia="方正小标宋_GBK"/>
          <w:sz w:val="44"/>
          <w:szCs w:val="44"/>
        </w:rPr>
        <w:br w:type="page"/>
      </w:r>
    </w:p>
    <w:p>
      <w:pPr>
        <w:rPr>
          <w:rFonts w:ascii="黑体" w:hAnsi="黑体" w:eastAsia="黑体" w:cs="方正仿宋_GBK"/>
          <w:b/>
          <w:sz w:val="32"/>
          <w:szCs w:val="44"/>
        </w:rPr>
      </w:pPr>
      <w:r>
        <w:rPr>
          <w:rFonts w:hint="eastAsia" w:ascii="黑体" w:hAnsi="黑体" w:eastAsia="黑体" w:cs="方正仿宋_GBK"/>
          <w:b/>
          <w:sz w:val="32"/>
          <w:szCs w:val="44"/>
        </w:rPr>
        <w:t>一、土壤污染重点监管单位基本情况</w:t>
      </w:r>
    </w:p>
    <w:p>
      <w:pPr>
        <w:jc w:val="center"/>
        <w:rPr>
          <w:rFonts w:ascii="仿宋" w:hAnsi="仿宋" w:eastAsia="仿宋" w:cs="方正仿宋_GBK"/>
          <w:sz w:val="32"/>
          <w:szCs w:val="44"/>
        </w:rPr>
      </w:pPr>
      <w:r>
        <w:rPr>
          <w:rFonts w:hint="eastAsia" w:ascii="仿宋" w:hAnsi="仿宋" w:eastAsia="仿宋" w:cs="方正仿宋_GBK"/>
          <w:sz w:val="32"/>
          <w:szCs w:val="44"/>
        </w:rPr>
        <w:t>企业基本情况</w:t>
      </w:r>
    </w:p>
    <w:tbl>
      <w:tblPr>
        <w:tblStyle w:val="6"/>
        <w:tblW w:w="55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06"/>
        <w:gridCol w:w="2135"/>
        <w:gridCol w:w="2269"/>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单位名称</w:t>
            </w:r>
          </w:p>
        </w:tc>
        <w:tc>
          <w:tcPr>
            <w:tcW w:w="1160"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苏州钢特威钢管有限公司</w:t>
            </w:r>
          </w:p>
        </w:tc>
        <w:tc>
          <w:tcPr>
            <w:tcW w:w="1233"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企业地址</w:t>
            </w:r>
          </w:p>
        </w:tc>
        <w:tc>
          <w:tcPr>
            <w:tcW w:w="1134"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kern w:val="44"/>
                <w:sz w:val="21"/>
                <w:szCs w:val="21"/>
              </w:rPr>
              <w:t>常熟市董浜镇华烨大道36号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法人代表及</w:t>
            </w:r>
            <w:r>
              <w:rPr>
                <w:rFonts w:hint="eastAsia" w:ascii="仿宋" w:hAnsi="仿宋" w:eastAsia="仿宋" w:cs="仿宋"/>
                <w:sz w:val="21"/>
                <w:szCs w:val="21"/>
                <w:highlight w:val="none"/>
              </w:rPr>
              <w:t>联系方式</w:t>
            </w:r>
          </w:p>
        </w:tc>
        <w:tc>
          <w:tcPr>
            <w:tcW w:w="1160"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rPr>
              <w:t>吴振环</w:t>
            </w:r>
          </w:p>
        </w:tc>
        <w:tc>
          <w:tcPr>
            <w:tcW w:w="1233"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填报人及联系方式</w:t>
            </w:r>
          </w:p>
        </w:tc>
        <w:tc>
          <w:tcPr>
            <w:tcW w:w="1134"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刘凯 </w:t>
            </w:r>
            <w:r>
              <w:rPr>
                <w:rFonts w:hint="eastAsia" w:ascii="仿宋" w:hAnsi="仿宋" w:eastAsia="仿宋" w:cs="仿宋"/>
                <w:i w:val="0"/>
                <w:caps w:val="0"/>
                <w:color w:val="333333"/>
                <w:spacing w:val="0"/>
                <w:sz w:val="21"/>
                <w:szCs w:val="21"/>
                <w:shd w:val="clear" w:fill="FFFFFF"/>
              </w:rPr>
              <w:t>18051822700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统一社会信用代码</w:t>
            </w:r>
          </w:p>
        </w:tc>
        <w:tc>
          <w:tcPr>
            <w:tcW w:w="1160"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rPr>
              <w:t>91320581790854309B</w:t>
            </w:r>
          </w:p>
        </w:tc>
        <w:tc>
          <w:tcPr>
            <w:tcW w:w="1233"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投产日期</w:t>
            </w:r>
          </w:p>
        </w:tc>
        <w:tc>
          <w:tcPr>
            <w:tcW w:w="1134" w:type="pct"/>
            <w:vAlign w:val="center"/>
          </w:tcPr>
          <w:p>
            <w:pPr>
              <w:pStyle w:val="10"/>
              <w:spacing w:line="360" w:lineRule="exact"/>
              <w:jc w:val="center"/>
              <w:rPr>
                <w:rFonts w:hint="eastAsia" w:ascii="仿宋" w:hAnsi="仿宋" w:eastAsia="仿宋" w:cs="仿宋"/>
                <w:color w:val="FF0000"/>
                <w:sz w:val="21"/>
                <w:szCs w:val="21"/>
                <w:lang w:val="en-US" w:eastAsia="zh-CN"/>
              </w:rPr>
            </w:pPr>
            <w:r>
              <w:rPr>
                <w:rFonts w:hint="eastAsia" w:ascii="仿宋" w:hAnsi="仿宋" w:eastAsia="仿宋" w:cs="仿宋"/>
                <w:color w:val="auto"/>
                <w:sz w:val="21"/>
                <w:szCs w:val="21"/>
                <w:lang w:val="en-US" w:eastAsia="zh-CN"/>
              </w:rPr>
              <w:t>2006</w:t>
            </w:r>
            <w:r>
              <w:rPr>
                <w:rFonts w:hint="eastAsia" w:ascii="仿宋" w:hAnsi="仿宋" w:eastAsia="仿宋" w:cs="仿宋"/>
                <w:color w:val="auto"/>
                <w:kern w:val="44"/>
                <w:sz w:val="21"/>
                <w:szCs w:val="21"/>
                <w:lang w:val="en-US" w:eastAsia="zh-CN"/>
              </w:rPr>
              <w:t>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所属行业</w:t>
            </w:r>
          </w:p>
        </w:tc>
        <w:tc>
          <w:tcPr>
            <w:tcW w:w="1160" w:type="pct"/>
            <w:vAlign w:val="center"/>
          </w:tcPr>
          <w:p>
            <w:pPr>
              <w:pStyle w:val="10"/>
              <w:spacing w:line="360" w:lineRule="exact"/>
              <w:jc w:val="center"/>
              <w:rPr>
                <w:rFonts w:hint="eastAsia" w:ascii="仿宋" w:hAnsi="仿宋" w:eastAsia="仿宋" w:cs="仿宋"/>
                <w:sz w:val="21"/>
                <w:szCs w:val="21"/>
                <w:lang w:eastAsia="zh-CN"/>
              </w:rPr>
            </w:pPr>
            <w:r>
              <w:rPr>
                <w:rFonts w:hint="eastAsia" w:ascii="仿宋" w:hAnsi="仿宋" w:eastAsia="仿宋" w:cs="仿宋"/>
                <w:i w:val="0"/>
                <w:caps w:val="0"/>
                <w:color w:val="auto"/>
                <w:spacing w:val="0"/>
                <w:sz w:val="21"/>
                <w:szCs w:val="21"/>
                <w:shd w:val="clear" w:fill="FFFFFF"/>
                <w:lang w:val="en-US" w:eastAsia="zh-CN"/>
              </w:rPr>
              <w:t>C3140</w:t>
            </w:r>
            <w:r>
              <w:rPr>
                <w:rFonts w:hint="eastAsia" w:ascii="仿宋" w:hAnsi="仿宋" w:eastAsia="仿宋" w:cs="仿宋"/>
                <w:i w:val="0"/>
                <w:caps w:val="0"/>
                <w:color w:val="auto"/>
                <w:spacing w:val="0"/>
                <w:sz w:val="21"/>
                <w:szCs w:val="21"/>
                <w:shd w:val="clear" w:fill="FFFFFF"/>
                <w:lang w:eastAsia="zh-CN"/>
              </w:rPr>
              <w:t>钢压延加工</w:t>
            </w:r>
          </w:p>
        </w:tc>
        <w:tc>
          <w:tcPr>
            <w:tcW w:w="1233" w:type="pct"/>
            <w:vAlign w:val="center"/>
          </w:tcPr>
          <w:p>
            <w:pPr>
              <w:pStyle w:val="10"/>
              <w:spacing w:line="36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主要产品</w:t>
            </w:r>
          </w:p>
        </w:tc>
        <w:tc>
          <w:tcPr>
            <w:tcW w:w="1134" w:type="pct"/>
            <w:vAlign w:val="center"/>
          </w:tcPr>
          <w:p>
            <w:pPr>
              <w:pStyle w:val="10"/>
              <w:spacing w:line="36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不锈钢无缝钢管、合金无缝 钢管、不锈钢制品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地块面积（m</w:t>
            </w:r>
            <w:r>
              <w:rPr>
                <w:rFonts w:hint="eastAsia" w:ascii="仿宋" w:hAnsi="仿宋" w:eastAsia="仿宋" w:cs="仿宋"/>
                <w:sz w:val="21"/>
                <w:szCs w:val="21"/>
                <w:vertAlign w:val="superscript"/>
              </w:rPr>
              <w:t>2</w:t>
            </w:r>
            <w:r>
              <w:rPr>
                <w:rFonts w:hint="eastAsia" w:ascii="仿宋" w:hAnsi="仿宋" w:eastAsia="仿宋" w:cs="仿宋"/>
                <w:sz w:val="21"/>
                <w:szCs w:val="21"/>
              </w:rPr>
              <w:t>）</w:t>
            </w:r>
          </w:p>
        </w:tc>
        <w:tc>
          <w:tcPr>
            <w:tcW w:w="1160"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lang w:val="en-US" w:eastAsia="zh-CN"/>
              </w:rPr>
              <w:t>30000</w:t>
            </w:r>
            <w:r>
              <w:rPr>
                <w:rFonts w:hint="eastAsia" w:ascii="仿宋" w:hAnsi="仿宋" w:eastAsia="仿宋" w:cs="仿宋"/>
                <w:kern w:val="0"/>
                <w:sz w:val="21"/>
                <w:szCs w:val="21"/>
                <w:lang w:val="en-US" w:eastAsia="zh-CN"/>
              </w:rPr>
              <w:t>m</w:t>
            </w:r>
            <w:r>
              <w:rPr>
                <w:rFonts w:hint="eastAsia" w:ascii="仿宋" w:hAnsi="仿宋" w:eastAsia="仿宋" w:cs="仿宋"/>
                <w:kern w:val="0"/>
                <w:sz w:val="21"/>
                <w:szCs w:val="21"/>
                <w:vertAlign w:val="superscript"/>
                <w:lang w:val="en-US" w:eastAsia="zh-CN"/>
              </w:rPr>
              <w:t>2</w:t>
            </w:r>
          </w:p>
        </w:tc>
        <w:tc>
          <w:tcPr>
            <w:tcW w:w="1233"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地块硬化层覆盖率（%）</w:t>
            </w:r>
          </w:p>
        </w:tc>
        <w:tc>
          <w:tcPr>
            <w:tcW w:w="1134" w:type="pct"/>
            <w:vAlign w:val="center"/>
          </w:tcPr>
          <w:p>
            <w:pPr>
              <w:pStyle w:val="10"/>
              <w:spacing w:line="360" w:lineRule="exact"/>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是否有地埋式污水池</w:t>
            </w:r>
          </w:p>
        </w:tc>
        <w:tc>
          <w:tcPr>
            <w:tcW w:w="1160" w:type="pct"/>
            <w:vAlign w:val="center"/>
          </w:tcPr>
          <w:p>
            <w:pPr>
              <w:pStyle w:val="10"/>
              <w:spacing w:line="360" w:lineRule="exact"/>
              <w:jc w:val="center"/>
              <w:rPr>
                <w:rFonts w:hint="eastAsia" w:ascii="仿宋" w:hAnsi="仿宋" w:eastAsia="仿宋" w:cs="仿宋"/>
                <w:sz w:val="21"/>
                <w:szCs w:val="21"/>
                <w:lang w:val="en-US" w:eastAsia="zh-CN"/>
              </w:rPr>
            </w:pPr>
            <w:r>
              <w:rPr>
                <w:rFonts w:hint="eastAsia" w:ascii="仿宋" w:hAnsi="仿宋" w:eastAsia="仿宋" w:cs="仿宋"/>
                <w:color w:val="FF0000"/>
                <w:kern w:val="0"/>
                <w:sz w:val="21"/>
                <w:szCs w:val="21"/>
                <w:lang w:val="en-US" w:eastAsia="zh-CN"/>
              </w:rPr>
              <w:t>有</w:t>
            </w:r>
          </w:p>
        </w:tc>
        <w:tc>
          <w:tcPr>
            <w:tcW w:w="1233"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污水运输管道是否埋于地下</w:t>
            </w:r>
          </w:p>
        </w:tc>
        <w:tc>
          <w:tcPr>
            <w:tcW w:w="1134" w:type="pct"/>
            <w:vAlign w:val="center"/>
          </w:tcPr>
          <w:p>
            <w:pPr>
              <w:pStyle w:val="10"/>
              <w:spacing w:line="360" w:lineRule="exact"/>
              <w:jc w:val="center"/>
              <w:rPr>
                <w:rFonts w:hint="eastAsia" w:ascii="仿宋" w:hAnsi="仿宋" w:eastAsia="仿宋" w:cs="仿宋"/>
                <w:kern w:val="0"/>
                <w:sz w:val="21"/>
                <w:szCs w:val="21"/>
                <w:lang w:val="en-US" w:eastAsia="zh-CN"/>
              </w:rPr>
            </w:pPr>
            <w:r>
              <w:rPr>
                <w:rFonts w:hint="eastAsia" w:ascii="仿宋" w:hAnsi="仿宋" w:eastAsia="仿宋" w:cs="仿宋"/>
                <w:color w:val="FF0000"/>
                <w:kern w:val="0"/>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排污许可证编号</w:t>
            </w:r>
          </w:p>
        </w:tc>
        <w:tc>
          <w:tcPr>
            <w:tcW w:w="3528" w:type="pct"/>
            <w:gridSpan w:val="3"/>
            <w:vAlign w:val="center"/>
          </w:tcPr>
          <w:p>
            <w:pPr>
              <w:pStyle w:val="10"/>
              <w:spacing w:line="360" w:lineRule="exact"/>
              <w:jc w:val="center"/>
              <w:rPr>
                <w:rFonts w:hint="eastAsia" w:ascii="仿宋" w:hAnsi="仿宋" w:eastAsia="仿宋" w:cs="仿宋"/>
                <w:color w:val="auto"/>
                <w:sz w:val="21"/>
                <w:szCs w:val="21"/>
                <w:lang w:val="en-US"/>
              </w:rPr>
            </w:pPr>
            <w:r>
              <w:rPr>
                <w:rFonts w:hint="eastAsia" w:ascii="仿宋" w:hAnsi="仿宋" w:eastAsia="仿宋" w:cs="仿宋"/>
                <w:i w:val="0"/>
                <w:caps w:val="0"/>
                <w:color w:val="auto"/>
                <w:spacing w:val="0"/>
                <w:sz w:val="21"/>
                <w:szCs w:val="21"/>
                <w:shd w:val="clear" w:fill="FFFFFF"/>
              </w:rPr>
              <w:t>91320581790854309B001P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排污许可证有效期</w:t>
            </w:r>
          </w:p>
        </w:tc>
        <w:tc>
          <w:tcPr>
            <w:tcW w:w="3528" w:type="pct"/>
            <w:gridSpan w:val="3"/>
            <w:vAlign w:val="center"/>
          </w:tcPr>
          <w:p>
            <w:pPr>
              <w:pStyle w:val="10"/>
              <w:spacing w:line="360" w:lineRule="exact"/>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sz w:val="21"/>
                <w:szCs w:val="21"/>
                <w:shd w:val="clear" w:fill="FFFFFF"/>
              </w:rPr>
              <w:t>自</w:t>
            </w:r>
            <w:r>
              <w:rPr>
                <w:rFonts w:hint="eastAsia" w:ascii="仿宋" w:hAnsi="仿宋" w:eastAsia="仿宋" w:cs="仿宋"/>
                <w:i w:val="0"/>
                <w:caps w:val="0"/>
                <w:color w:val="auto"/>
                <w:spacing w:val="0"/>
                <w:sz w:val="21"/>
                <w:szCs w:val="21"/>
                <w:shd w:val="clear" w:fill="FFFFFF"/>
                <w:lang w:val="en-US" w:eastAsia="zh-CN"/>
              </w:rPr>
              <w:t>2019</w:t>
            </w:r>
            <w:r>
              <w:rPr>
                <w:rFonts w:hint="eastAsia" w:ascii="仿宋" w:hAnsi="仿宋" w:eastAsia="仿宋" w:cs="仿宋"/>
                <w:i w:val="0"/>
                <w:caps w:val="0"/>
                <w:color w:val="auto"/>
                <w:spacing w:val="0"/>
                <w:sz w:val="21"/>
                <w:szCs w:val="21"/>
                <w:shd w:val="clear" w:fill="FFFFFF"/>
              </w:rPr>
              <w:t>年</w:t>
            </w:r>
            <w:r>
              <w:rPr>
                <w:rFonts w:hint="eastAsia" w:ascii="仿宋" w:hAnsi="仿宋" w:eastAsia="仿宋" w:cs="仿宋"/>
                <w:i w:val="0"/>
                <w:caps w:val="0"/>
                <w:color w:val="auto"/>
                <w:spacing w:val="0"/>
                <w:sz w:val="21"/>
                <w:szCs w:val="21"/>
                <w:shd w:val="clear" w:fill="FFFFFF"/>
                <w:lang w:val="en-US" w:eastAsia="zh-CN"/>
              </w:rPr>
              <w:t>03</w:t>
            </w:r>
            <w:r>
              <w:rPr>
                <w:rFonts w:hint="eastAsia" w:ascii="仿宋" w:hAnsi="仿宋" w:eastAsia="仿宋" w:cs="仿宋"/>
                <w:i w:val="0"/>
                <w:caps w:val="0"/>
                <w:color w:val="auto"/>
                <w:spacing w:val="0"/>
                <w:sz w:val="21"/>
                <w:szCs w:val="21"/>
                <w:shd w:val="clear" w:fill="FFFFFF"/>
              </w:rPr>
              <w:t>月</w:t>
            </w:r>
            <w:r>
              <w:rPr>
                <w:rFonts w:hint="eastAsia" w:ascii="仿宋" w:hAnsi="仿宋" w:eastAsia="仿宋" w:cs="仿宋"/>
                <w:i w:val="0"/>
                <w:caps w:val="0"/>
                <w:color w:val="auto"/>
                <w:spacing w:val="0"/>
                <w:sz w:val="21"/>
                <w:szCs w:val="21"/>
                <w:shd w:val="clear" w:fill="FFFFFF"/>
                <w:lang w:val="en-US" w:eastAsia="zh-CN"/>
              </w:rPr>
              <w:t>08</w:t>
            </w:r>
            <w:r>
              <w:rPr>
                <w:rFonts w:hint="eastAsia" w:ascii="仿宋" w:hAnsi="仿宋" w:eastAsia="仿宋" w:cs="仿宋"/>
                <w:i w:val="0"/>
                <w:caps w:val="0"/>
                <w:color w:val="auto"/>
                <w:spacing w:val="0"/>
                <w:sz w:val="21"/>
                <w:szCs w:val="21"/>
                <w:shd w:val="clear" w:fill="FFFFFF"/>
              </w:rPr>
              <w:t>日起至</w:t>
            </w:r>
            <w:r>
              <w:rPr>
                <w:rFonts w:hint="eastAsia" w:ascii="仿宋" w:hAnsi="仿宋" w:eastAsia="仿宋" w:cs="仿宋"/>
                <w:i w:val="0"/>
                <w:caps w:val="0"/>
                <w:color w:val="auto"/>
                <w:spacing w:val="0"/>
                <w:sz w:val="21"/>
                <w:szCs w:val="21"/>
                <w:shd w:val="clear" w:fill="FFFFFF"/>
                <w:lang w:val="en-US" w:eastAsia="zh-CN"/>
              </w:rPr>
              <w:t>2022</w:t>
            </w:r>
            <w:r>
              <w:rPr>
                <w:rFonts w:hint="eastAsia" w:ascii="仿宋" w:hAnsi="仿宋" w:eastAsia="仿宋" w:cs="仿宋"/>
                <w:i w:val="0"/>
                <w:caps w:val="0"/>
                <w:color w:val="auto"/>
                <w:spacing w:val="0"/>
                <w:sz w:val="21"/>
                <w:szCs w:val="21"/>
                <w:shd w:val="clear" w:fill="FFFFFF"/>
              </w:rPr>
              <w:t>年</w:t>
            </w:r>
            <w:r>
              <w:rPr>
                <w:rFonts w:hint="eastAsia" w:ascii="仿宋" w:hAnsi="仿宋" w:eastAsia="仿宋" w:cs="仿宋"/>
                <w:i w:val="0"/>
                <w:caps w:val="0"/>
                <w:color w:val="auto"/>
                <w:spacing w:val="0"/>
                <w:sz w:val="21"/>
                <w:szCs w:val="21"/>
                <w:shd w:val="clear" w:fill="FFFFFF"/>
                <w:lang w:val="en-US" w:eastAsia="zh-CN"/>
              </w:rPr>
              <w:t>03</w:t>
            </w:r>
            <w:r>
              <w:rPr>
                <w:rFonts w:hint="eastAsia" w:ascii="仿宋" w:hAnsi="仿宋" w:eastAsia="仿宋" w:cs="仿宋"/>
                <w:i w:val="0"/>
                <w:caps w:val="0"/>
                <w:color w:val="auto"/>
                <w:spacing w:val="0"/>
                <w:sz w:val="21"/>
                <w:szCs w:val="21"/>
                <w:shd w:val="clear" w:fill="FFFFFF"/>
              </w:rPr>
              <w:t>月</w:t>
            </w:r>
            <w:r>
              <w:rPr>
                <w:rFonts w:hint="eastAsia" w:ascii="仿宋" w:hAnsi="仿宋" w:eastAsia="仿宋" w:cs="仿宋"/>
                <w:i w:val="0"/>
                <w:caps w:val="0"/>
                <w:color w:val="auto"/>
                <w:spacing w:val="0"/>
                <w:sz w:val="21"/>
                <w:szCs w:val="21"/>
                <w:shd w:val="clear" w:fill="FFFFFF"/>
                <w:lang w:val="en-US" w:eastAsia="zh-CN"/>
              </w:rPr>
              <w:t>07</w:t>
            </w:r>
            <w:r>
              <w:rPr>
                <w:rFonts w:hint="eastAsia" w:ascii="仿宋" w:hAnsi="仿宋" w:eastAsia="仿宋" w:cs="仿宋"/>
                <w:i w:val="0"/>
                <w:caps w:val="0"/>
                <w:color w:val="auto"/>
                <w:spacing w:val="0"/>
                <w:sz w:val="21"/>
                <w:szCs w:val="21"/>
                <w:shd w:val="clear" w:fill="FFFFFF"/>
              </w:rPr>
              <w:t>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排放污染物类别</w:t>
            </w:r>
          </w:p>
        </w:tc>
        <w:tc>
          <w:tcPr>
            <w:tcW w:w="3528" w:type="pct"/>
            <w:gridSpan w:val="3"/>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 xml:space="preserve">废气  </w:t>
            </w:r>
            <w:r>
              <w:rPr>
                <w:rFonts w:hint="eastAsia" w:ascii="仿宋" w:hAnsi="仿宋" w:eastAsia="仿宋" w:cs="仿宋"/>
                <w:sz w:val="21"/>
                <w:szCs w:val="21"/>
              </w:rPr>
              <w:sym w:font="Wingdings 2" w:char="0052"/>
            </w:r>
            <w:r>
              <w:rPr>
                <w:rFonts w:hint="eastAsia" w:ascii="仿宋" w:hAnsi="仿宋" w:eastAsia="仿宋" w:cs="仿宋"/>
                <w:sz w:val="21"/>
                <w:szCs w:val="21"/>
              </w:rPr>
              <w:t xml:space="preserve">废水 </w:t>
            </w:r>
            <w:r>
              <w:rPr>
                <w:rFonts w:hint="eastAsia" w:ascii="仿宋" w:hAnsi="仿宋" w:eastAsia="仿宋" w:cs="仿宋"/>
                <w:sz w:val="21"/>
                <w:szCs w:val="21"/>
              </w:rPr>
              <w:sym w:font="Wingdings 2" w:char="0052"/>
            </w:r>
            <w:r>
              <w:rPr>
                <w:rFonts w:hint="eastAsia" w:ascii="仿宋" w:hAnsi="仿宋" w:eastAsia="仿宋" w:cs="仿宋"/>
                <w:sz w:val="21"/>
                <w:szCs w:val="21"/>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主要污染物种类</w:t>
            </w:r>
          </w:p>
        </w:tc>
        <w:tc>
          <w:tcPr>
            <w:tcW w:w="3528" w:type="pct"/>
            <w:gridSpan w:val="3"/>
            <w:vAlign w:val="center"/>
          </w:tcPr>
          <w:p>
            <w:pPr>
              <w:pStyle w:val="10"/>
              <w:spacing w:line="360" w:lineRule="exact"/>
              <w:jc w:val="center"/>
              <w:rPr>
                <w:rFonts w:hint="eastAsia" w:ascii="仿宋" w:hAnsi="仿宋" w:eastAsia="仿宋" w:cs="仿宋"/>
                <w:i w:val="0"/>
                <w:caps w:val="0"/>
                <w:color w:val="000000"/>
                <w:spacing w:val="0"/>
                <w:sz w:val="21"/>
                <w:szCs w:val="21"/>
                <w:shd w:val="clear" w:fill="FFFFFF"/>
                <w:lang w:eastAsia="zh-CN"/>
              </w:rPr>
            </w:pPr>
            <w:r>
              <w:rPr>
                <w:rFonts w:hint="eastAsia" w:ascii="仿宋" w:hAnsi="仿宋" w:eastAsia="仿宋" w:cs="仿宋"/>
                <w:kern w:val="0"/>
                <w:sz w:val="21"/>
                <w:szCs w:val="21"/>
                <w:lang w:val="en-US" w:eastAsia="zh-CN"/>
              </w:rPr>
              <w:t>废气：</w:t>
            </w:r>
            <w:r>
              <w:rPr>
                <w:rFonts w:hint="eastAsia" w:ascii="仿宋" w:hAnsi="仿宋" w:eastAsia="仿宋" w:cs="仿宋"/>
                <w:i w:val="0"/>
                <w:caps w:val="0"/>
                <w:color w:val="000000"/>
                <w:spacing w:val="0"/>
                <w:sz w:val="21"/>
                <w:szCs w:val="21"/>
                <w:shd w:val="clear" w:fill="FFFFFF"/>
              </w:rPr>
              <w:t>氟化物、硫酸雾</w:t>
            </w:r>
            <w:r>
              <w:rPr>
                <w:rFonts w:hint="eastAsia" w:ascii="仿宋" w:hAnsi="仿宋" w:eastAsia="仿宋" w:cs="仿宋"/>
                <w:i w:val="0"/>
                <w:caps w:val="0"/>
                <w:color w:val="000000"/>
                <w:spacing w:val="0"/>
                <w:sz w:val="21"/>
                <w:szCs w:val="21"/>
                <w:shd w:val="clear" w:fill="FFFFFF"/>
                <w:lang w:eastAsia="zh-CN"/>
              </w:rPr>
              <w:t>、二氧化硫、氮氧化物、烟尘、颗粒物</w:t>
            </w:r>
          </w:p>
          <w:p>
            <w:pPr>
              <w:pStyle w:val="10"/>
              <w:spacing w:line="360" w:lineRule="exact"/>
              <w:jc w:val="center"/>
              <w:rPr>
                <w:rFonts w:hint="eastAsia" w:ascii="仿宋" w:hAnsi="仿宋" w:eastAsia="仿宋" w:cs="仿宋"/>
                <w:i w:val="0"/>
                <w:caps w:val="0"/>
                <w:color w:val="000000"/>
                <w:spacing w:val="0"/>
                <w:sz w:val="21"/>
                <w:szCs w:val="21"/>
                <w:shd w:val="clear" w:fill="FFFFFF"/>
                <w:lang w:val="en-US" w:eastAsia="zh-CN"/>
              </w:rPr>
            </w:pPr>
            <w:r>
              <w:rPr>
                <w:rFonts w:hint="eastAsia" w:ascii="仿宋" w:hAnsi="仿宋" w:eastAsia="仿宋" w:cs="仿宋"/>
                <w:i w:val="0"/>
                <w:caps w:val="0"/>
                <w:color w:val="000000"/>
                <w:spacing w:val="0"/>
                <w:sz w:val="21"/>
                <w:szCs w:val="21"/>
                <w:shd w:val="clear" w:fill="FFFFFF"/>
                <w:lang w:val="en-US" w:eastAsia="zh-CN"/>
              </w:rPr>
              <w:t>废水：</w:t>
            </w:r>
            <w:r>
              <w:rPr>
                <w:rFonts w:hint="eastAsia" w:ascii="仿宋" w:hAnsi="仿宋" w:eastAsia="仿宋" w:cs="仿宋"/>
                <w:i w:val="0"/>
                <w:caps w:val="0"/>
                <w:color w:val="000000"/>
                <w:spacing w:val="0"/>
                <w:sz w:val="21"/>
                <w:szCs w:val="21"/>
                <w:shd w:val="clear" w:fill="FFFFFF"/>
              </w:rPr>
              <w:t>pH值,悬浮物,化学需氧量,氨氮（NH3-N）,总氮（以N计）,总磷（以P计）,石油类,氟化物（以F-计）,总氰化物,总铁,总锌,总铜,</w:t>
            </w:r>
          </w:p>
          <w:p>
            <w:pPr>
              <w:pStyle w:val="10"/>
              <w:spacing w:line="360" w:lineRule="exact"/>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固废：</w:t>
            </w:r>
            <w:r>
              <w:rPr>
                <w:rFonts w:hint="eastAsia" w:ascii="仿宋" w:hAnsi="仿宋" w:eastAsia="仿宋" w:cs="仿宋"/>
                <w:sz w:val="21"/>
                <w:szCs w:val="21"/>
                <w:lang w:val="en-US" w:eastAsia="zh-CN"/>
              </w:rPr>
              <w:t>废矿物油、废乳化液、表面处理废物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大气污染物排放形式</w:t>
            </w:r>
          </w:p>
        </w:tc>
        <w:tc>
          <w:tcPr>
            <w:tcW w:w="1160"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有组织</w:t>
            </w:r>
          </w:p>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无组织</w:t>
            </w:r>
          </w:p>
        </w:tc>
        <w:tc>
          <w:tcPr>
            <w:tcW w:w="1233"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废水污染物排放规律</w:t>
            </w:r>
          </w:p>
        </w:tc>
        <w:tc>
          <w:tcPr>
            <w:tcW w:w="1134"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sym w:font="Wingdings 2" w:char="00A3"/>
            </w:r>
            <w:r>
              <w:rPr>
                <w:rFonts w:hint="eastAsia" w:ascii="仿宋" w:hAnsi="仿宋" w:eastAsia="仿宋" w:cs="仿宋"/>
                <w:sz w:val="21"/>
                <w:szCs w:val="21"/>
              </w:rPr>
              <w:t>连续排放</w:t>
            </w:r>
          </w:p>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间歇排放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大气污染物排放执行标准名称</w:t>
            </w:r>
          </w:p>
        </w:tc>
        <w:tc>
          <w:tcPr>
            <w:tcW w:w="3528" w:type="pct"/>
            <w:gridSpan w:val="3"/>
            <w:vAlign w:val="center"/>
          </w:tcPr>
          <w:p>
            <w:pPr>
              <w:pStyle w:val="10"/>
              <w:spacing w:line="360" w:lineRule="exact"/>
              <w:jc w:val="center"/>
              <w:rPr>
                <w:rFonts w:hint="eastAsia" w:ascii="仿宋" w:hAnsi="仿宋" w:eastAsia="仿宋" w:cs="仿宋"/>
                <w:kern w:val="0"/>
                <w:sz w:val="21"/>
                <w:szCs w:val="21"/>
                <w:lang w:eastAsia="zh-CN"/>
              </w:rPr>
            </w:pPr>
            <w:r>
              <w:rPr>
                <w:rFonts w:hint="eastAsia" w:ascii="仿宋" w:hAnsi="仿宋" w:eastAsia="仿宋" w:cs="仿宋"/>
                <w:i w:val="0"/>
                <w:caps w:val="0"/>
                <w:color w:val="000000"/>
                <w:spacing w:val="0"/>
                <w:sz w:val="21"/>
                <w:szCs w:val="21"/>
                <w:shd w:val="clear" w:fill="FFFFFF"/>
              </w:rPr>
              <w:t>轧钢工业大气污染物排放标准 GB28665-2012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水污染物排放执行标准名称</w:t>
            </w:r>
          </w:p>
        </w:tc>
        <w:tc>
          <w:tcPr>
            <w:tcW w:w="3528" w:type="pct"/>
            <w:gridSpan w:val="3"/>
            <w:vAlign w:val="center"/>
          </w:tcPr>
          <w:p>
            <w:pPr>
              <w:pStyle w:val="10"/>
              <w:spacing w:line="360" w:lineRule="exact"/>
              <w:jc w:val="center"/>
              <w:rPr>
                <w:rFonts w:hint="eastAsia" w:ascii="仿宋" w:hAnsi="仿宋" w:eastAsia="仿宋" w:cs="仿宋"/>
                <w:color w:val="000000"/>
                <w:sz w:val="21"/>
                <w:szCs w:val="21"/>
                <w:lang w:eastAsia="zh-CN"/>
              </w:rPr>
            </w:pPr>
            <w:r>
              <w:rPr>
                <w:rFonts w:hint="eastAsia" w:ascii="仿宋" w:hAnsi="仿宋" w:eastAsia="仿宋" w:cs="仿宋"/>
                <w:i w:val="0"/>
                <w:caps w:val="0"/>
                <w:color w:val="000000"/>
                <w:spacing w:val="0"/>
                <w:sz w:val="21"/>
                <w:szCs w:val="21"/>
                <w:shd w:val="clear" w:fill="FFFFFF"/>
              </w:rPr>
              <w:t>钢铁工业水污染物排放标准 GB134562012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1471" w:type="pct"/>
            <w:vAlign w:val="center"/>
          </w:tcPr>
          <w:p>
            <w:pPr>
              <w:pStyle w:val="10"/>
              <w:spacing w:line="360" w:lineRule="exact"/>
              <w:jc w:val="center"/>
              <w:rPr>
                <w:rFonts w:hint="eastAsia" w:ascii="仿宋" w:hAnsi="仿宋" w:eastAsia="仿宋" w:cs="仿宋"/>
                <w:sz w:val="21"/>
                <w:szCs w:val="21"/>
              </w:rPr>
            </w:pPr>
            <w:r>
              <w:rPr>
                <w:rFonts w:hint="eastAsia" w:ascii="仿宋" w:hAnsi="仿宋" w:eastAsia="仿宋" w:cs="仿宋"/>
                <w:sz w:val="21"/>
                <w:szCs w:val="21"/>
              </w:rPr>
              <w:t>固废暂存场所执行标准</w:t>
            </w:r>
          </w:p>
        </w:tc>
        <w:tc>
          <w:tcPr>
            <w:tcW w:w="3528" w:type="pct"/>
            <w:gridSpan w:val="3"/>
            <w:vAlign w:val="center"/>
          </w:tcPr>
          <w:p>
            <w:pPr>
              <w:pStyle w:val="10"/>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危险废物贮存污染控制标准GB18597-2001（2013年修订）</w:t>
            </w:r>
          </w:p>
        </w:tc>
      </w:tr>
    </w:tbl>
    <w:p>
      <w:pPr>
        <w:widowControl/>
        <w:jc w:val="left"/>
        <w:rPr>
          <w:rFonts w:ascii="方正仿宋_GBK" w:hAnsi="方正仿宋_GBK" w:eastAsia="方正仿宋_GBK" w:cs="方正仿宋_GBK"/>
          <w:sz w:val="32"/>
          <w:szCs w:val="4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ascii="黑体" w:hAnsi="黑体" w:eastAsia="黑体" w:cs="方正仿宋_GBK"/>
          <w:b/>
          <w:color w:val="FF0000"/>
          <w:sz w:val="32"/>
          <w:szCs w:val="44"/>
        </w:rPr>
      </w:pPr>
      <w:r>
        <w:rPr>
          <w:rFonts w:hint="eastAsia" w:ascii="黑体" w:hAnsi="黑体" w:eastAsia="黑体" w:cs="方正仿宋_GBK"/>
          <w:b/>
          <w:color w:val="FF0000"/>
          <w:sz w:val="32"/>
          <w:szCs w:val="44"/>
        </w:rPr>
        <w:t>二、大气有毒有害污染物排放情况</w:t>
      </w:r>
    </w:p>
    <w:p>
      <w:pPr>
        <w:jc w:val="center"/>
        <w:rPr>
          <w:rFonts w:ascii="仿宋" w:hAnsi="仿宋" w:eastAsia="仿宋" w:cs="方正仿宋_GBK"/>
          <w:color w:val="FF0000"/>
          <w:sz w:val="32"/>
          <w:szCs w:val="44"/>
        </w:rPr>
      </w:pPr>
      <w:r>
        <w:rPr>
          <w:rFonts w:hint="eastAsia" w:ascii="仿宋" w:hAnsi="仿宋" w:eastAsia="仿宋" w:cs="方正仿宋_GBK"/>
          <w:color w:val="FF0000"/>
          <w:sz w:val="32"/>
          <w:szCs w:val="44"/>
        </w:rPr>
        <w:t>大气排放基本情况</w:t>
      </w:r>
    </w:p>
    <w:p>
      <w:pPr>
        <w:rPr>
          <w:rFonts w:ascii="Times New Roman" w:hAnsi="Times New Roman" w:eastAsia="方正仿宋_GBK" w:cs="Times New Roman"/>
          <w:sz w:val="24"/>
          <w:szCs w:val="24"/>
        </w:rPr>
      </w:pPr>
      <w:r>
        <w:drawing>
          <wp:inline distT="0" distB="0" distL="114300" distR="114300">
            <wp:extent cx="8872855" cy="2019935"/>
            <wp:effectExtent l="0" t="0" r="4445" b="184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6"/>
                    <a:stretch>
                      <a:fillRect/>
                    </a:stretch>
                  </pic:blipFill>
                  <pic:spPr>
                    <a:xfrm>
                      <a:off x="0" y="0"/>
                      <a:ext cx="8872855" cy="2019935"/>
                    </a:xfrm>
                    <a:prstGeom prst="rect">
                      <a:avLst/>
                    </a:prstGeom>
                    <a:noFill/>
                    <a:ln>
                      <a:noFill/>
                    </a:ln>
                  </pic:spPr>
                </pic:pic>
              </a:graphicData>
            </a:graphic>
          </wp:inline>
        </w:drawing>
      </w:r>
    </w:p>
    <w:p>
      <w:pPr>
        <w:rPr>
          <w:rFonts w:ascii="Times New Roman" w:hAnsi="Times New Roman" w:eastAsia="方正仿宋_GBK" w:cs="Times New Roman"/>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方正仿宋_GBK" w:cs="Times New Roman"/>
          <w:sz w:val="24"/>
          <w:szCs w:val="24"/>
        </w:rPr>
        <w:t>注：</w:t>
      </w:r>
      <w:r>
        <w:rPr>
          <w:rFonts w:hint="eastAsia" w:ascii="Times New Roman" w:hAnsi="Times New Roman" w:eastAsia="方正仿宋_GBK" w:cs="Times New Roman"/>
          <w:sz w:val="24"/>
          <w:szCs w:val="24"/>
          <w:lang w:val="en-US" w:eastAsia="zh-CN"/>
        </w:rPr>
        <w:t>本厂所排放的大气污染物均不涉及附件1中的污染物</w:t>
      </w:r>
      <w:r>
        <w:rPr>
          <w:rFonts w:hint="eastAsia" w:ascii="Times New Roman" w:hAnsi="Times New Roman" w:eastAsia="方正仿宋_GBK" w:cs="Times New Roman"/>
          <w:sz w:val="24"/>
          <w:szCs w:val="24"/>
        </w:rPr>
        <w:t>。</w:t>
      </w:r>
    </w:p>
    <w:p>
      <w:pPr>
        <w:rPr>
          <w:rFonts w:ascii="黑体" w:hAnsi="黑体" w:eastAsia="黑体" w:cs="方正仿宋_GBK"/>
          <w:b/>
          <w:color w:val="FF0000"/>
          <w:sz w:val="32"/>
          <w:szCs w:val="44"/>
        </w:rPr>
      </w:pPr>
      <w:r>
        <w:rPr>
          <w:rFonts w:hint="eastAsia" w:ascii="黑体" w:hAnsi="黑体" w:eastAsia="黑体" w:cs="方正仿宋_GBK"/>
          <w:b/>
          <w:color w:val="FF0000"/>
          <w:sz w:val="32"/>
          <w:szCs w:val="44"/>
        </w:rPr>
        <w:t>三、废水有毒有害污染物排放情况</w:t>
      </w:r>
      <w:bookmarkStart w:id="0" w:name="_GoBack"/>
      <w:bookmarkEnd w:id="0"/>
    </w:p>
    <w:p>
      <w:pPr>
        <w:jc w:val="center"/>
        <w:rPr>
          <w:rFonts w:ascii="仿宋" w:hAnsi="仿宋" w:eastAsia="仿宋" w:cs="方正仿宋_GBK"/>
          <w:color w:val="FF0000"/>
          <w:sz w:val="32"/>
          <w:szCs w:val="44"/>
        </w:rPr>
      </w:pPr>
      <w:r>
        <w:rPr>
          <w:rFonts w:hint="eastAsia" w:ascii="仿宋" w:hAnsi="仿宋" w:eastAsia="仿宋" w:cs="方正仿宋_GBK"/>
          <w:color w:val="FF0000"/>
          <w:sz w:val="32"/>
          <w:szCs w:val="44"/>
        </w:rPr>
        <w:t>废水排放基本情况</w:t>
      </w:r>
    </w:p>
    <w:p>
      <w:pPr>
        <w:rPr>
          <w:rFonts w:ascii="Times New Roman" w:hAnsi="Times New Roman" w:eastAsia="方正仿宋_GBK" w:cs="Times New Roman"/>
          <w:sz w:val="24"/>
          <w:szCs w:val="24"/>
        </w:rPr>
      </w:pPr>
      <w:r>
        <w:drawing>
          <wp:inline distT="0" distB="0" distL="114300" distR="114300">
            <wp:extent cx="8834120" cy="3747770"/>
            <wp:effectExtent l="0" t="0" r="5080"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tretch>
                      <a:fillRect/>
                    </a:stretch>
                  </pic:blipFill>
                  <pic:spPr>
                    <a:xfrm>
                      <a:off x="0" y="0"/>
                      <a:ext cx="8834120" cy="3747770"/>
                    </a:xfrm>
                    <a:prstGeom prst="rect">
                      <a:avLst/>
                    </a:prstGeom>
                    <a:noFill/>
                    <a:ln>
                      <a:noFill/>
                    </a:ln>
                  </pic:spPr>
                </pic:pic>
              </a:graphicData>
            </a:graphic>
          </wp:inline>
        </w:drawing>
      </w:r>
    </w:p>
    <w:p>
      <w:pPr>
        <w:rPr>
          <w:rFonts w:ascii="Times New Roman" w:hAnsi="Times New Roman" w:eastAsia="方正仿宋_GBK" w:cs="Times New Roman"/>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方正仿宋_GBK" w:cs="Times New Roman"/>
          <w:sz w:val="24"/>
          <w:szCs w:val="24"/>
        </w:rPr>
        <w:t>注：</w:t>
      </w:r>
      <w:r>
        <w:rPr>
          <w:rFonts w:hint="eastAsia" w:ascii="Times New Roman" w:hAnsi="Times New Roman" w:eastAsia="方正仿宋_GBK" w:cs="Times New Roman"/>
          <w:sz w:val="24"/>
          <w:szCs w:val="24"/>
          <w:lang w:val="en-US" w:eastAsia="zh-CN"/>
        </w:rPr>
        <w:t>本厂所排放的废水污染物均不涉及附件2中的污染物</w:t>
      </w:r>
      <w:r>
        <w:rPr>
          <w:rFonts w:hint="eastAsia" w:ascii="Times New Roman" w:hAnsi="Times New Roman" w:eastAsia="方正仿宋_GBK" w:cs="Times New Roman"/>
          <w:sz w:val="24"/>
          <w:szCs w:val="24"/>
        </w:rPr>
        <w:t>。</w:t>
      </w:r>
    </w:p>
    <w:p>
      <w:pPr>
        <w:rPr>
          <w:rFonts w:ascii="黑体" w:hAnsi="黑体" w:eastAsia="黑体" w:cs="方正仿宋_GBK"/>
          <w:b/>
          <w:sz w:val="32"/>
          <w:szCs w:val="44"/>
        </w:rPr>
      </w:pPr>
      <w:r>
        <w:rPr>
          <w:rFonts w:hint="eastAsia" w:ascii="黑体" w:hAnsi="黑体" w:eastAsia="黑体" w:cs="方正仿宋_GBK"/>
          <w:b/>
          <w:sz w:val="32"/>
          <w:szCs w:val="44"/>
        </w:rPr>
        <w:t>四、固体废物有毒有害物质排放情况</w:t>
      </w:r>
    </w:p>
    <w:p>
      <w:pPr>
        <w:jc w:val="center"/>
        <w:rPr>
          <w:rFonts w:ascii="仿宋" w:hAnsi="仿宋" w:eastAsia="仿宋" w:cs="方正仿宋_GBK"/>
          <w:sz w:val="32"/>
          <w:szCs w:val="44"/>
        </w:rPr>
      </w:pPr>
      <w:r>
        <w:rPr>
          <w:rFonts w:hint="eastAsia" w:ascii="仿宋" w:hAnsi="仿宋" w:eastAsia="仿宋" w:cs="方正仿宋_GBK"/>
          <w:sz w:val="32"/>
          <w:szCs w:val="44"/>
        </w:rPr>
        <w:t>固体废物排放情况</w:t>
      </w:r>
    </w:p>
    <w:tbl>
      <w:tblPr>
        <w:tblStyle w:val="6"/>
        <w:tblW w:w="5003" w:type="pct"/>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323"/>
        <w:gridCol w:w="1419"/>
        <w:gridCol w:w="1056"/>
        <w:gridCol w:w="1365"/>
        <w:gridCol w:w="1243"/>
        <w:gridCol w:w="6233"/>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序号</w:t>
            </w:r>
          </w:p>
        </w:tc>
        <w:tc>
          <w:tcPr>
            <w:tcW w:w="466"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固体废物来源</w:t>
            </w:r>
          </w:p>
        </w:tc>
        <w:tc>
          <w:tcPr>
            <w:tcW w:w="500"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固体废物名称</w:t>
            </w:r>
          </w:p>
        </w:tc>
        <w:tc>
          <w:tcPr>
            <w:tcW w:w="372"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固体废物类别</w:t>
            </w:r>
          </w:p>
        </w:tc>
        <w:tc>
          <w:tcPr>
            <w:tcW w:w="481"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eastAsia="en-US"/>
              </w:rPr>
              <w:t>危废代码</w:t>
            </w:r>
          </w:p>
        </w:tc>
        <w:tc>
          <w:tcPr>
            <w:tcW w:w="438"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固体废物产生量（t）</w:t>
            </w:r>
          </w:p>
        </w:tc>
        <w:tc>
          <w:tcPr>
            <w:tcW w:w="2197"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处理方式</w:t>
            </w:r>
          </w:p>
        </w:tc>
        <w:tc>
          <w:tcPr>
            <w:tcW w:w="328" w:type="pct"/>
            <w:tcBorders>
              <w:tl2br w:val="nil"/>
              <w:tr2bl w:val="nil"/>
            </w:tcBorders>
            <w:shd w:val="clear" w:color="auto" w:fill="auto"/>
            <w:vAlign w:val="center"/>
          </w:tcPr>
          <w:p>
            <w:pPr>
              <w:widowControl/>
              <w:spacing w:line="320" w:lineRule="atLeast"/>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val="en-US" w:eastAsia="zh-CN"/>
              </w:rPr>
              <w:t>处置</w:t>
            </w:r>
            <w:r>
              <w:rPr>
                <w:rFonts w:hint="eastAsia" w:ascii="仿宋" w:hAnsi="仿宋" w:eastAsia="仿宋" w:cs="仿宋"/>
                <w:color w:val="000000"/>
                <w:kern w:val="0"/>
                <w:sz w:val="21"/>
                <w:szCs w:val="21"/>
              </w:rPr>
              <w:t>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w:t>
            </w:r>
          </w:p>
        </w:tc>
        <w:tc>
          <w:tcPr>
            <w:tcW w:w="46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酸洗、水处理</w:t>
            </w:r>
          </w:p>
        </w:tc>
        <w:tc>
          <w:tcPr>
            <w:tcW w:w="500"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sz w:val="21"/>
                <w:szCs w:val="21"/>
                <w:lang w:val="en-US" w:eastAsia="zh-CN"/>
              </w:rPr>
              <w:t>表面处理废物</w:t>
            </w:r>
          </w:p>
        </w:tc>
        <w:tc>
          <w:tcPr>
            <w:tcW w:w="372"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危险废物</w:t>
            </w:r>
          </w:p>
        </w:tc>
        <w:tc>
          <w:tcPr>
            <w:tcW w:w="481"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336-064-17</w:t>
            </w:r>
          </w:p>
        </w:tc>
        <w:tc>
          <w:tcPr>
            <w:tcW w:w="43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default" w:ascii="仿宋" w:hAnsi="仿宋" w:eastAsia="仿宋" w:cs="仿宋"/>
                <w:color w:val="000000"/>
                <w:kern w:val="0"/>
                <w:sz w:val="21"/>
                <w:szCs w:val="21"/>
                <w:lang w:val="en-US"/>
              </w:rPr>
            </w:pPr>
            <w:r>
              <w:rPr>
                <w:rFonts w:hint="eastAsia" w:ascii="仿宋" w:hAnsi="仿宋" w:eastAsia="仿宋" w:cs="仿宋"/>
                <w:sz w:val="21"/>
                <w:szCs w:val="21"/>
                <w:lang w:val="en-US" w:eastAsia="zh-CN"/>
              </w:rPr>
              <w:t>350</w:t>
            </w:r>
          </w:p>
        </w:tc>
        <w:tc>
          <w:tcPr>
            <w:tcW w:w="2197"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sz w:val="21"/>
                <w:szCs w:val="21"/>
                <w:lang w:val="en-US" w:eastAsia="zh-CN"/>
              </w:rPr>
              <w:t>委托有资质单位处理</w:t>
            </w:r>
          </w:p>
        </w:tc>
        <w:tc>
          <w:tcPr>
            <w:tcW w:w="32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default" w:ascii="仿宋" w:hAnsi="仿宋" w:eastAsia="仿宋" w:cs="仿宋"/>
                <w:color w:val="000000"/>
                <w:kern w:val="0"/>
                <w:sz w:val="21"/>
                <w:szCs w:val="21"/>
                <w:lang w:val="en-US"/>
              </w:rPr>
            </w:pPr>
            <w:r>
              <w:rPr>
                <w:rFonts w:hint="eastAsia" w:ascii="仿宋" w:hAnsi="仿宋" w:eastAsia="仿宋" w:cs="仿宋"/>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2</w:t>
            </w:r>
          </w:p>
        </w:tc>
        <w:tc>
          <w:tcPr>
            <w:tcW w:w="46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eastAsia="zh-CN"/>
              </w:rPr>
            </w:pPr>
            <w:r>
              <w:rPr>
                <w:rFonts w:hint="eastAsia" w:ascii="仿宋" w:hAnsi="仿宋" w:eastAsia="仿宋" w:cs="仿宋"/>
                <w:sz w:val="21"/>
                <w:szCs w:val="21"/>
                <w:lang w:eastAsia="zh-CN"/>
              </w:rPr>
              <w:t>机械加工</w:t>
            </w:r>
          </w:p>
        </w:tc>
        <w:tc>
          <w:tcPr>
            <w:tcW w:w="500"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sz w:val="21"/>
                <w:szCs w:val="21"/>
                <w:lang w:val="en-US" w:eastAsia="zh-CN"/>
              </w:rPr>
              <w:t>废乳化液</w:t>
            </w:r>
          </w:p>
        </w:tc>
        <w:tc>
          <w:tcPr>
            <w:tcW w:w="372"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危险废物</w:t>
            </w:r>
          </w:p>
        </w:tc>
        <w:tc>
          <w:tcPr>
            <w:tcW w:w="481"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900-006-09</w:t>
            </w:r>
          </w:p>
        </w:tc>
        <w:tc>
          <w:tcPr>
            <w:tcW w:w="43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default" w:ascii="仿宋" w:hAnsi="仿宋" w:eastAsia="仿宋" w:cs="仿宋"/>
                <w:color w:val="000000"/>
                <w:kern w:val="0"/>
                <w:sz w:val="21"/>
                <w:szCs w:val="21"/>
                <w:lang w:val="en-US"/>
              </w:rPr>
            </w:pPr>
            <w:r>
              <w:rPr>
                <w:rFonts w:hint="eastAsia" w:ascii="仿宋" w:hAnsi="仿宋" w:eastAsia="仿宋" w:cs="仿宋"/>
                <w:sz w:val="21"/>
                <w:szCs w:val="21"/>
                <w:lang w:val="en-US" w:eastAsia="zh-CN"/>
              </w:rPr>
              <w:t>0.1</w:t>
            </w:r>
          </w:p>
        </w:tc>
        <w:tc>
          <w:tcPr>
            <w:tcW w:w="2197"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sz w:val="21"/>
                <w:szCs w:val="21"/>
                <w:lang w:val="en-US" w:eastAsia="zh-CN"/>
              </w:rPr>
              <w:t>委托江苏康博工业固体废弃物处置有限公司处理</w:t>
            </w:r>
          </w:p>
        </w:tc>
        <w:tc>
          <w:tcPr>
            <w:tcW w:w="32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default" w:ascii="仿宋" w:hAnsi="仿宋" w:eastAsia="仿宋" w:cs="仿宋"/>
                <w:color w:val="000000"/>
                <w:kern w:val="0"/>
                <w:sz w:val="21"/>
                <w:szCs w:val="21"/>
                <w:lang w:val="en-US"/>
              </w:rPr>
            </w:pPr>
            <w:r>
              <w:rPr>
                <w:rFonts w:hint="eastAsia" w:ascii="仿宋" w:hAnsi="仿宋" w:eastAsia="仿宋" w:cs="仿宋"/>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3</w:t>
            </w:r>
          </w:p>
        </w:tc>
        <w:tc>
          <w:tcPr>
            <w:tcW w:w="466" w:type="pct"/>
            <w:tcBorders>
              <w:tl2br w:val="nil"/>
              <w:tr2bl w:val="nil"/>
            </w:tcBorders>
            <w:shd w:val="clear" w:color="auto" w:fill="auto"/>
            <w:noWrap/>
            <w:vAlign w:val="center"/>
          </w:tcPr>
          <w:p>
            <w:pPr>
              <w:widowControl/>
              <w:spacing w:line="320" w:lineRule="atLeast"/>
              <w:jc w:val="center"/>
              <w:rPr>
                <w:rFonts w:hint="eastAsia" w:ascii="仿宋" w:hAnsi="仿宋" w:eastAsia="仿宋" w:cs="仿宋"/>
                <w:color w:val="000000"/>
                <w:kern w:val="0"/>
                <w:sz w:val="21"/>
                <w:szCs w:val="21"/>
                <w:lang w:eastAsia="zh-CN"/>
              </w:rPr>
            </w:pPr>
            <w:r>
              <w:rPr>
                <w:rFonts w:hint="eastAsia" w:ascii="仿宋" w:hAnsi="仿宋" w:eastAsia="仿宋" w:cs="仿宋"/>
                <w:sz w:val="21"/>
                <w:szCs w:val="21"/>
                <w:lang w:eastAsia="zh-CN"/>
              </w:rPr>
              <w:t>冷轧</w:t>
            </w:r>
          </w:p>
        </w:tc>
        <w:tc>
          <w:tcPr>
            <w:tcW w:w="500"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sz w:val="21"/>
                <w:szCs w:val="21"/>
                <w:lang w:val="en-US" w:eastAsia="zh-CN"/>
              </w:rPr>
              <w:t>废矿物油</w:t>
            </w:r>
          </w:p>
        </w:tc>
        <w:tc>
          <w:tcPr>
            <w:tcW w:w="372"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危险废物</w:t>
            </w:r>
          </w:p>
        </w:tc>
        <w:tc>
          <w:tcPr>
            <w:tcW w:w="481"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900-204-08</w:t>
            </w:r>
          </w:p>
        </w:tc>
        <w:tc>
          <w:tcPr>
            <w:tcW w:w="43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1</w:t>
            </w:r>
          </w:p>
        </w:tc>
        <w:tc>
          <w:tcPr>
            <w:tcW w:w="2197"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委托江苏康博工业固体废弃物处置有限公司、常州市锦云工业废弃物处理有限公司处理</w:t>
            </w:r>
          </w:p>
        </w:tc>
        <w:tc>
          <w:tcPr>
            <w:tcW w:w="328" w:type="pct"/>
            <w:tcBorders>
              <w:tl2br w:val="nil"/>
              <w:tr2bl w:val="nil"/>
            </w:tcBorders>
            <w:shd w:val="clear" w:color="auto" w:fill="auto"/>
            <w:noWrap/>
            <w:vAlign w:val="center"/>
          </w:tcPr>
          <w:p>
            <w:pPr>
              <w:pStyle w:val="9"/>
              <w:autoSpaceDE w:val="0"/>
              <w:autoSpaceDN w:val="0"/>
              <w:spacing w:line="240" w:lineRule="auto"/>
              <w:ind w:left="0" w:leftChars="0" w:firstLine="0" w:firstLineChars="0"/>
              <w:jc w:val="center"/>
              <w:rPr>
                <w:rFonts w:hint="eastAsia" w:ascii="仿宋" w:hAnsi="仿宋" w:eastAsia="仿宋" w:cs="仿宋"/>
                <w:color w:val="000000"/>
                <w:kern w:val="0"/>
                <w:sz w:val="21"/>
                <w:szCs w:val="21"/>
              </w:rPr>
            </w:pPr>
            <w:r>
              <w:rPr>
                <w:rFonts w:hint="eastAsia" w:ascii="仿宋" w:hAnsi="仿宋" w:eastAsia="仿宋" w:cs="仿宋"/>
                <w:sz w:val="21"/>
                <w:szCs w:val="21"/>
                <w:lang w:val="en-US" w:eastAsia="zh-CN"/>
              </w:rPr>
              <w:t>1</w:t>
            </w:r>
          </w:p>
        </w:tc>
      </w:tr>
    </w:tbl>
    <w:p>
      <w:pPr>
        <w:rPr>
          <w:rFonts w:ascii="方正仿宋_GBK" w:hAnsi="方正仿宋_GBK" w:eastAsia="方正仿宋_GBK" w:cs="方正仿宋_GBK"/>
          <w:sz w:val="32"/>
          <w:szCs w:val="4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黑体" w:hAnsi="黑体" w:eastAsia="黑体" w:cs="方正仿宋_GBK"/>
          <w:b/>
          <w:sz w:val="32"/>
          <w:szCs w:val="44"/>
        </w:rPr>
      </w:pPr>
      <w:r>
        <w:rPr>
          <w:rFonts w:hint="eastAsia" w:ascii="黑体" w:hAnsi="黑体" w:eastAsia="黑体" w:cs="方正仿宋_GBK"/>
          <w:b/>
          <w:sz w:val="32"/>
          <w:szCs w:val="44"/>
        </w:rPr>
        <w:t>五、有毒有害物质排放结论</w:t>
      </w:r>
    </w:p>
    <w:p>
      <w:pPr>
        <w:rPr>
          <w:rFonts w:ascii="方正黑体_GBK" w:hAnsi="方正仿宋_GBK" w:eastAsia="方正黑体_GBK" w:cs="方正仿宋_GBK"/>
          <w:b/>
          <w:sz w:val="32"/>
          <w:szCs w:val="44"/>
        </w:rPr>
      </w:pPr>
    </w:p>
    <w:tbl>
      <w:tblPr>
        <w:tblStyle w:val="7"/>
        <w:tblW w:w="878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417"/>
        <w:gridCol w:w="2410"/>
        <w:gridCol w:w="226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介质</w:t>
            </w:r>
          </w:p>
        </w:tc>
        <w:tc>
          <w:tcPr>
            <w:tcW w:w="1417" w:type="dxa"/>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污染物类别</w:t>
            </w:r>
          </w:p>
        </w:tc>
        <w:tc>
          <w:tcPr>
            <w:tcW w:w="2410" w:type="dxa"/>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排放限值（固体废物产生量）总量（t）</w:t>
            </w:r>
          </w:p>
        </w:tc>
        <w:tc>
          <w:tcPr>
            <w:tcW w:w="2268" w:type="dxa"/>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实际排放总量（固体废物处理量）（t）</w:t>
            </w:r>
          </w:p>
        </w:tc>
        <w:tc>
          <w:tcPr>
            <w:tcW w:w="1701" w:type="dxa"/>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是否达到控制排放要求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Merge w:val="restart"/>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固体废物</w:t>
            </w:r>
          </w:p>
        </w:tc>
        <w:tc>
          <w:tcPr>
            <w:tcW w:w="1417" w:type="dxa"/>
            <w:vAlign w:val="center"/>
          </w:tcPr>
          <w:p>
            <w:pPr>
              <w:pStyle w:val="9"/>
              <w:autoSpaceDE w:val="0"/>
              <w:autoSpaceDN w:val="0"/>
              <w:spacing w:line="240" w:lineRule="auto"/>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表面处理废物</w:t>
            </w:r>
          </w:p>
        </w:tc>
        <w:tc>
          <w:tcPr>
            <w:tcW w:w="2410" w:type="dxa"/>
            <w:vAlign w:val="center"/>
          </w:tcPr>
          <w:p>
            <w:pPr>
              <w:pStyle w:val="9"/>
              <w:autoSpaceDE w:val="0"/>
              <w:autoSpaceDN w:val="0"/>
              <w:spacing w:line="240" w:lineRule="auto"/>
              <w:ind w:left="0" w:leftChars="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350</w:t>
            </w:r>
          </w:p>
        </w:tc>
        <w:tc>
          <w:tcPr>
            <w:tcW w:w="2268" w:type="dxa"/>
            <w:vAlign w:val="center"/>
          </w:tcPr>
          <w:p>
            <w:pPr>
              <w:pStyle w:val="9"/>
              <w:autoSpaceDE w:val="0"/>
              <w:autoSpaceDN w:val="0"/>
              <w:spacing w:line="240" w:lineRule="auto"/>
              <w:ind w:left="0" w:leftChars="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350</w:t>
            </w:r>
          </w:p>
        </w:tc>
        <w:tc>
          <w:tcPr>
            <w:tcW w:w="1701" w:type="dxa"/>
            <w:vAlign w:val="center"/>
          </w:tcPr>
          <w:p>
            <w:pPr>
              <w:pStyle w:val="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Merge w:val="continue"/>
            <w:vAlign w:val="center"/>
          </w:tcPr>
          <w:p>
            <w:pPr>
              <w:spacing w:line="360" w:lineRule="exact"/>
              <w:jc w:val="center"/>
              <w:rPr>
                <w:rFonts w:hint="eastAsia" w:ascii="仿宋" w:hAnsi="仿宋" w:eastAsia="仿宋" w:cs="仿宋"/>
                <w:sz w:val="21"/>
                <w:szCs w:val="21"/>
              </w:rPr>
            </w:pPr>
          </w:p>
        </w:tc>
        <w:tc>
          <w:tcPr>
            <w:tcW w:w="1417" w:type="dxa"/>
            <w:vAlign w:val="center"/>
          </w:tcPr>
          <w:p>
            <w:pPr>
              <w:pStyle w:val="9"/>
              <w:autoSpaceDE w:val="0"/>
              <w:autoSpaceDN w:val="0"/>
              <w:spacing w:line="240" w:lineRule="auto"/>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废乳化液</w:t>
            </w:r>
          </w:p>
        </w:tc>
        <w:tc>
          <w:tcPr>
            <w:tcW w:w="2410" w:type="dxa"/>
            <w:vAlign w:val="center"/>
          </w:tcPr>
          <w:p>
            <w:pPr>
              <w:pStyle w:val="9"/>
              <w:autoSpaceDE w:val="0"/>
              <w:autoSpaceDN w:val="0"/>
              <w:spacing w:line="240" w:lineRule="auto"/>
              <w:ind w:left="0" w:leftChars="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0.1</w:t>
            </w:r>
          </w:p>
        </w:tc>
        <w:tc>
          <w:tcPr>
            <w:tcW w:w="2268" w:type="dxa"/>
            <w:vAlign w:val="center"/>
          </w:tcPr>
          <w:p>
            <w:pPr>
              <w:pStyle w:val="9"/>
              <w:autoSpaceDE w:val="0"/>
              <w:autoSpaceDN w:val="0"/>
              <w:spacing w:line="240" w:lineRule="auto"/>
              <w:ind w:left="0" w:leftChars="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0.1</w:t>
            </w:r>
          </w:p>
        </w:tc>
        <w:tc>
          <w:tcPr>
            <w:tcW w:w="1701" w:type="dxa"/>
            <w:vAlign w:val="center"/>
          </w:tcPr>
          <w:p>
            <w:pPr>
              <w:pStyle w:val="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vMerge w:val="continue"/>
            <w:vAlign w:val="center"/>
          </w:tcPr>
          <w:p>
            <w:pPr>
              <w:spacing w:line="360" w:lineRule="exact"/>
              <w:jc w:val="center"/>
              <w:rPr>
                <w:rFonts w:hint="eastAsia" w:ascii="仿宋" w:hAnsi="仿宋" w:eastAsia="仿宋" w:cs="仿宋"/>
                <w:sz w:val="21"/>
                <w:szCs w:val="21"/>
              </w:rPr>
            </w:pPr>
          </w:p>
        </w:tc>
        <w:tc>
          <w:tcPr>
            <w:tcW w:w="1417" w:type="dxa"/>
            <w:vAlign w:val="center"/>
          </w:tcPr>
          <w:p>
            <w:pPr>
              <w:pStyle w:val="9"/>
              <w:autoSpaceDE w:val="0"/>
              <w:autoSpaceDN w:val="0"/>
              <w:spacing w:line="240" w:lineRule="auto"/>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废矿物油</w:t>
            </w:r>
          </w:p>
        </w:tc>
        <w:tc>
          <w:tcPr>
            <w:tcW w:w="2410" w:type="dxa"/>
            <w:vAlign w:val="center"/>
          </w:tcPr>
          <w:p>
            <w:pPr>
              <w:pStyle w:val="9"/>
              <w:autoSpaceDE w:val="0"/>
              <w:autoSpaceDN w:val="0"/>
              <w:spacing w:line="240" w:lineRule="auto"/>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1</w:t>
            </w:r>
          </w:p>
        </w:tc>
        <w:tc>
          <w:tcPr>
            <w:tcW w:w="2268" w:type="dxa"/>
            <w:vAlign w:val="center"/>
          </w:tcPr>
          <w:p>
            <w:pPr>
              <w:pStyle w:val="9"/>
              <w:autoSpaceDE w:val="0"/>
              <w:autoSpaceDN w:val="0"/>
              <w:spacing w:line="240" w:lineRule="auto"/>
              <w:ind w:left="0" w:leftChars="0"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1</w:t>
            </w:r>
          </w:p>
        </w:tc>
        <w:tc>
          <w:tcPr>
            <w:tcW w:w="1701" w:type="dxa"/>
            <w:vAlign w:val="center"/>
          </w:tcPr>
          <w:p>
            <w:pPr>
              <w:pStyle w:val="9"/>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w:t>
            </w:r>
          </w:p>
        </w:tc>
      </w:tr>
    </w:tbl>
    <w:p>
      <w:pPr>
        <w:rPr>
          <w:rFonts w:ascii="方正仿宋_GBK" w:hAnsi="方正仿宋_GBK" w:eastAsia="方正仿宋_GBK" w:cs="方正仿宋_GBK"/>
          <w:sz w:val="32"/>
          <w:szCs w:val="4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t>附件1 《有毒有害大气污染物名录（2018年）》</w:t>
      </w:r>
    </w:p>
    <w:p>
      <w:pPr>
        <w:rPr>
          <w:rFonts w:ascii="方正仿宋_GBK" w:hAnsi="方正仿宋_GBK" w:eastAsia="方正仿宋_GBK" w:cs="方正仿宋_GBK"/>
          <w:sz w:val="32"/>
          <w:szCs w:val="44"/>
        </w:rPr>
      </w:pPr>
      <w:r>
        <w:drawing>
          <wp:inline distT="0" distB="0" distL="0" distR="0">
            <wp:extent cx="5274310" cy="29013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901315"/>
                    </a:xfrm>
                    <a:prstGeom prst="rect">
                      <a:avLst/>
                    </a:prstGeom>
                  </pic:spPr>
                </pic:pic>
              </a:graphicData>
            </a:graphic>
          </wp:inline>
        </w:drawing>
      </w:r>
    </w:p>
    <w:p>
      <w:pPr>
        <w:rPr>
          <w:rFonts w:ascii="方正仿宋_GBK" w:hAnsi="方正仿宋_GBK" w:eastAsia="方正仿宋_GBK" w:cs="方正仿宋_GBK"/>
          <w:sz w:val="32"/>
          <w:szCs w:val="44"/>
        </w:rPr>
      </w:pPr>
      <w:r>
        <w:drawing>
          <wp:inline distT="0" distB="0" distL="0" distR="0">
            <wp:extent cx="5274310" cy="32423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3242310"/>
                    </a:xfrm>
                    <a:prstGeom prst="rect">
                      <a:avLst/>
                    </a:prstGeom>
                  </pic:spPr>
                </pic:pic>
              </a:graphicData>
            </a:graphic>
          </wp:inline>
        </w:drawing>
      </w:r>
    </w:p>
    <w:p>
      <w:pPr>
        <w:rPr>
          <w:rFonts w:ascii="方正仿宋_GBK" w:hAnsi="方正仿宋_GBK" w:eastAsia="方正仿宋_GBK" w:cs="方正仿宋_GBK"/>
          <w:sz w:val="32"/>
          <w:szCs w:val="4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t>附件2 《有毒有害水污染物名录（第一批）》</w:t>
      </w:r>
    </w:p>
    <w:p>
      <w:pPr>
        <w:rPr>
          <w:rFonts w:ascii="方正仿宋_GBK" w:hAnsi="方正仿宋_GBK" w:eastAsia="方正仿宋_GBK" w:cs="方正仿宋_GBK"/>
          <w:sz w:val="32"/>
          <w:szCs w:val="44"/>
        </w:rPr>
      </w:pPr>
      <w:r>
        <w:drawing>
          <wp:inline distT="0" distB="0" distL="0" distR="0">
            <wp:extent cx="5274310" cy="30441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044190"/>
                    </a:xfrm>
                    <a:prstGeom prst="rect">
                      <a:avLst/>
                    </a:prstGeom>
                  </pic:spPr>
                </pic:pic>
              </a:graphicData>
            </a:graphic>
          </wp:inline>
        </w:drawing>
      </w:r>
    </w:p>
    <w:p>
      <w:pPr>
        <w:rPr>
          <w:rFonts w:ascii="方正仿宋_GBK" w:hAnsi="方正仿宋_GBK" w:eastAsia="方正仿宋_GBK" w:cs="方正仿宋_GBK"/>
          <w:sz w:val="32"/>
          <w:szCs w:val="44"/>
        </w:rPr>
      </w:pPr>
      <w:r>
        <w:drawing>
          <wp:inline distT="0" distB="0" distL="0" distR="0">
            <wp:extent cx="5274310" cy="35286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3528695"/>
                    </a:xfrm>
                    <a:prstGeom prst="rect">
                      <a:avLst/>
                    </a:prstGeom>
                  </pic:spPr>
                </pic:pic>
              </a:graphicData>
            </a:graphic>
          </wp:inline>
        </w:drawing>
      </w:r>
    </w:p>
    <w:p>
      <w:pPr>
        <w:widowControl/>
        <w:jc w:val="left"/>
        <w:rPr>
          <w:rFonts w:ascii="方正仿宋_GBK" w:hAnsi="方正仿宋_GBK" w:eastAsia="方正仿宋_GBK" w:cs="方正仿宋_GBK"/>
          <w:sz w:val="32"/>
          <w:szCs w:val="44"/>
        </w:rPr>
      </w:pPr>
      <w:r>
        <w:rPr>
          <w:rFonts w:ascii="方正仿宋_GBK" w:hAnsi="方正仿宋_GBK" w:eastAsia="方正仿宋_GBK" w:cs="方正仿宋_GBK"/>
          <w:sz w:val="32"/>
          <w:szCs w:val="44"/>
        </w:rPr>
        <w:br w:type="page"/>
      </w:r>
    </w:p>
    <w:p>
      <w:pPr>
        <w:rPr>
          <w:rFonts w:ascii="Times New Roman" w:hAnsi="Times New Roman" w:eastAsia="方正仿宋_GBK" w:cs="Times New Roman"/>
          <w:sz w:val="28"/>
          <w:szCs w:val="28"/>
        </w:rPr>
      </w:pPr>
      <w:r>
        <w:rPr>
          <w:rFonts w:ascii="Times New Roman" w:hAnsi="Times New Roman" w:eastAsia="方正仿宋_GBK" w:cs="Times New Roman"/>
          <w:sz w:val="28"/>
          <w:szCs w:val="28"/>
        </w:rPr>
        <w:t>附件3 《</w:t>
      </w:r>
      <w:r>
        <w:rPr>
          <w:rFonts w:hint="eastAsia" w:ascii="Times New Roman" w:hAnsi="Times New Roman" w:eastAsia="方正仿宋_GBK" w:cs="Times New Roman"/>
          <w:sz w:val="28"/>
          <w:szCs w:val="28"/>
        </w:rPr>
        <w:t>中华人民共和国固体废物污染环境防治法》规定的危险废物（名录全文</w:t>
      </w:r>
      <w:r>
        <w:rPr>
          <w:rFonts w:ascii="Times New Roman" w:hAnsi="Times New Roman" w:eastAsia="方正仿宋_GBK" w:cs="Times New Roman"/>
          <w:sz w:val="28"/>
          <w:szCs w:val="28"/>
        </w:rPr>
        <w:t>PDF</w:t>
      </w:r>
      <w:r>
        <w:rPr>
          <w:rFonts w:hint="eastAsia" w:ascii="Times New Roman" w:hAnsi="Times New Roman" w:eastAsia="方正仿宋_GBK" w:cs="Times New Roman"/>
          <w:sz w:val="28"/>
          <w:szCs w:val="28"/>
        </w:rPr>
        <w:t>如下，点击打开）。</w:t>
      </w:r>
    </w:p>
    <w:p>
      <w:pPr>
        <w:jc w:val="center"/>
        <w:rPr>
          <w:sz w:val="28"/>
          <w:szCs w:val="28"/>
        </w:rPr>
      </w:pPr>
      <w:r>
        <w:rPr>
          <w:sz w:val="28"/>
          <w:szCs w:val="28"/>
        </w:rPr>
        <w:object>
          <v:shape id="_x0000_i1025" o:spt="75" type="#_x0000_t75" style="height:40pt;width:65pt;" o:ole="t" filled="f" o:preferrelative="t" stroked="f" coordsize="21600,21600">
            <v:path/>
            <v:fill on="f" focussize="0,0"/>
            <v:stroke on="f" joinstyle="miter"/>
            <v:imagedata r:id="rId13" o:title=""/>
            <o:lock v:ext="edit" aspectratio="t"/>
            <w10:wrap type="none"/>
            <w10:anchorlock/>
          </v:shape>
          <o:OLEObject Type="Embed" ProgID="Acrobat.Document.DC" ShapeID="_x0000_i1025" DrawAspect="Icon" ObjectID="_1468075725" r:id="rId12">
            <o:LockedField>false</o:LockedField>
          </o:OLEObject>
        </w:object>
      </w:r>
    </w:p>
    <w:p>
      <w:pPr>
        <w:rPr>
          <w:sz w:val="28"/>
          <w:szCs w:val="28"/>
        </w:rPr>
      </w:pPr>
    </w:p>
    <w:p>
      <w:pPr>
        <w:rPr>
          <w:sz w:val="28"/>
          <w:szCs w:val="28"/>
        </w:rPr>
      </w:pPr>
      <w:r>
        <w:rPr>
          <w:sz w:val="28"/>
          <w:szCs w:val="28"/>
        </w:rPr>
        <w:drawing>
          <wp:inline distT="0" distB="0" distL="0" distR="0">
            <wp:extent cx="5146675" cy="2713355"/>
            <wp:effectExtent l="0" t="0" r="0" b="0"/>
            <wp:docPr id="8" name="图片 8" descr="C:\Users\hi_Ci\AppData\Local\Temp\WeChat Files\c9214e2c3c6196f4aebe0a447bc0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i_Ci\AppData\Local\Temp\WeChat Files\c9214e2c3c6196f4aebe0a447bc004b.png"/>
                    <pic:cNvPicPr>
                      <a:picLocks noChangeAspect="1" noChangeArrowheads="1"/>
                    </pic:cNvPicPr>
                  </pic:nvPicPr>
                  <pic:blipFill>
                    <a:blip r:embed="rId14" cstate="print">
                      <a:extLst>
                        <a:ext uri="{28A0092B-C50C-407E-A947-70E740481C1C}">
                          <a14:useLocalDpi xmlns:a14="http://schemas.microsoft.com/office/drawing/2010/main" val="0"/>
                        </a:ext>
                      </a:extLst>
                    </a:blip>
                    <a:srcRect l="2405"/>
                    <a:stretch>
                      <a:fillRect/>
                    </a:stretch>
                  </pic:blipFill>
                  <pic:spPr>
                    <a:xfrm>
                      <a:off x="0" y="0"/>
                      <a:ext cx="5147480" cy="2713672"/>
                    </a:xfrm>
                    <a:prstGeom prst="rect">
                      <a:avLst/>
                    </a:prstGeom>
                    <a:noFill/>
                    <a:ln>
                      <a:noFill/>
                    </a:ln>
                  </pic:spPr>
                </pic:pic>
              </a:graphicData>
            </a:graphic>
          </wp:inline>
        </w:drawing>
      </w:r>
    </w:p>
    <w:p>
      <w:pPr>
        <w:rPr>
          <w:sz w:val="28"/>
          <w:szCs w:val="28"/>
        </w:rPr>
      </w:pPr>
    </w:p>
    <w:p>
      <w:pPr>
        <w:widowControl/>
        <w:jc w:val="left"/>
        <w:rPr>
          <w:sz w:val="28"/>
          <w:szCs w:val="28"/>
        </w:rPr>
      </w:pPr>
      <w:r>
        <w:rPr>
          <w:sz w:val="28"/>
          <w:szCs w:val="28"/>
        </w:rPr>
        <w:br w:type="page"/>
      </w:r>
    </w:p>
    <w:p>
      <w:pPr>
        <w:rPr>
          <w:rFonts w:ascii="方正仿宋_GBK" w:hAnsi="方正仿宋_GBK" w:eastAsia="方正仿宋_GBK" w:cs="方正仿宋_GBK"/>
          <w:sz w:val="32"/>
          <w:szCs w:val="44"/>
        </w:rPr>
      </w:pPr>
      <w:r>
        <w:rPr>
          <w:rFonts w:hint="eastAsia" w:ascii="方正仿宋_GBK" w:hAnsi="方正仿宋_GBK" w:eastAsia="方正仿宋_GBK" w:cs="方正仿宋_GBK"/>
          <w:sz w:val="32"/>
          <w:szCs w:val="44"/>
        </w:rPr>
        <w:t>附件4</w:t>
      </w:r>
      <w:r>
        <w:rPr>
          <w:rFonts w:ascii="方正仿宋_GBK" w:hAnsi="方正仿宋_GBK" w:eastAsia="方正仿宋_GBK" w:cs="方正仿宋_GBK"/>
          <w:sz w:val="32"/>
          <w:szCs w:val="44"/>
        </w:rPr>
        <w:t xml:space="preserve"> </w:t>
      </w:r>
      <w:r>
        <w:rPr>
          <w:rFonts w:hint="eastAsia" w:ascii="方正仿宋_GBK" w:hAnsi="方正仿宋_GBK" w:eastAsia="方正仿宋_GBK" w:cs="方正仿宋_GBK"/>
          <w:sz w:val="32"/>
          <w:szCs w:val="44"/>
        </w:rPr>
        <w:t>国家和地方建设用地土壤污染风险管控标准管控的污染物（包含</w:t>
      </w:r>
      <w:r>
        <w:rPr>
          <w:rFonts w:ascii="方正仿宋_GBK" w:hAnsi="方正仿宋_GBK" w:eastAsia="方正仿宋_GBK" w:cs="方正仿宋_GBK"/>
          <w:sz w:val="32"/>
          <w:szCs w:val="44"/>
        </w:rPr>
        <w:t>GB36600规定的85个项目等，</w:t>
      </w:r>
      <w:r>
        <w:rPr>
          <w:rFonts w:hint="eastAsia" w:ascii="方正仿宋_GBK" w:hAnsi="方正仿宋_GBK" w:eastAsia="方正仿宋_GBK" w:cs="方正仿宋_GBK"/>
          <w:sz w:val="32"/>
          <w:szCs w:val="44"/>
        </w:rPr>
        <w:t>详见PD</w:t>
      </w:r>
      <w:r>
        <w:rPr>
          <w:rFonts w:ascii="方正仿宋_GBK" w:hAnsi="方正仿宋_GBK" w:eastAsia="方正仿宋_GBK" w:cs="方正仿宋_GBK"/>
          <w:sz w:val="32"/>
          <w:szCs w:val="44"/>
        </w:rPr>
        <w:t>F，</w:t>
      </w:r>
      <w:r>
        <w:rPr>
          <w:rFonts w:hint="eastAsia" w:ascii="方正仿宋_GBK" w:hAnsi="方正仿宋_GBK" w:eastAsia="方正仿宋_GBK" w:cs="方正仿宋_GBK"/>
          <w:sz w:val="32"/>
          <w:szCs w:val="44"/>
        </w:rPr>
        <w:t>点击可打开</w:t>
      </w:r>
      <w:r>
        <w:rPr>
          <w:rFonts w:ascii="方正仿宋_GBK" w:hAnsi="方正仿宋_GBK" w:eastAsia="方正仿宋_GBK" w:cs="方正仿宋_GBK"/>
          <w:sz w:val="32"/>
          <w:szCs w:val="44"/>
        </w:rPr>
        <w:t>）。</w:t>
      </w:r>
    </w:p>
    <w:p>
      <w:pPr>
        <w:jc w:val="center"/>
        <w:rPr>
          <w:sz w:val="28"/>
          <w:szCs w:val="28"/>
        </w:rPr>
      </w:pPr>
      <w:r>
        <w:rPr>
          <w:sz w:val="28"/>
          <w:szCs w:val="28"/>
        </w:rPr>
        <w:object>
          <v:shape id="_x0000_i1026" o:spt="75" type="#_x0000_t75" style="height:40pt;width:65pt;" o:ole="t" filled="f" o:preferrelative="t" stroked="f" coordsize="21600,21600">
            <v:path/>
            <v:fill on="f" focussize="0,0"/>
            <v:stroke on="f" joinstyle="miter"/>
            <v:imagedata r:id="rId16" o:title=""/>
            <o:lock v:ext="edit" aspectratio="t"/>
            <w10:wrap type="none"/>
            <w10:anchorlock/>
          </v:shape>
          <o:OLEObject Type="Embed" ProgID="AcroExch.Document.7" ShapeID="_x0000_i1026" DrawAspect="Icon" ObjectID="_1468075726" r:id="rId15">
            <o:LockedField>false</o:LockedField>
          </o:OLEObject>
        </w:object>
      </w:r>
    </w:p>
    <w:p>
      <w:pPr>
        <w:rPr>
          <w:sz w:val="28"/>
          <w:szCs w:val="28"/>
        </w:rPr>
      </w:pPr>
    </w:p>
    <w:p>
      <w:pPr>
        <w:jc w:val="center"/>
        <w:rPr>
          <w:sz w:val="28"/>
          <w:szCs w:val="28"/>
        </w:rPr>
      </w:pPr>
      <w:r>
        <w:rPr>
          <w:sz w:val="28"/>
          <w:szCs w:val="28"/>
        </w:rPr>
        <w:drawing>
          <wp:inline distT="0" distB="0" distL="0" distR="0">
            <wp:extent cx="4612640" cy="3545840"/>
            <wp:effectExtent l="0" t="0" r="0" b="0"/>
            <wp:docPr id="4" name="图片 4" descr="C:\Users\hi_Ci\AppData\Local\Temp\WeChat Files\308a23567a887c389fc92404806c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i_Ci\AppData\Local\Temp\WeChat Files\308a23567a887c389fc92404806ca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615895" cy="3548136"/>
                    </a:xfrm>
                    <a:prstGeom prst="rect">
                      <a:avLst/>
                    </a:prstGeom>
                    <a:noFill/>
                    <a:ln>
                      <a:noFill/>
                    </a:ln>
                  </pic:spPr>
                </pic:pic>
              </a:graphicData>
            </a:graphic>
          </wp:inline>
        </w:drawing>
      </w:r>
    </w:p>
    <w:p>
      <w:pPr>
        <w:widowControl/>
        <w:jc w:val="left"/>
        <w:rPr>
          <w:sz w:val="28"/>
          <w:szCs w:val="28"/>
        </w:rPr>
      </w:pPr>
      <w:r>
        <w:rPr>
          <w:sz w:val="28"/>
          <w:szCs w:val="28"/>
        </w:rPr>
        <w:br w:type="page"/>
      </w:r>
    </w:p>
    <w:p>
      <w:pPr>
        <w:rPr>
          <w:rFonts w:ascii="方正仿宋_GBK" w:hAnsi="方正仿宋_GBK" w:eastAsia="方正仿宋_GBK" w:cs="方正仿宋_GBK"/>
          <w:sz w:val="32"/>
          <w:szCs w:val="44"/>
        </w:rPr>
      </w:pPr>
      <w:r>
        <w:rPr>
          <w:rFonts w:hint="eastAsia" w:ascii="方正仿宋_GBK" w:hAnsi="方正仿宋_GBK" w:eastAsia="方正仿宋_GBK" w:cs="方正仿宋_GBK"/>
          <w:sz w:val="32"/>
          <w:szCs w:val="44"/>
        </w:rPr>
        <w:t>附录5</w:t>
      </w:r>
      <w:r>
        <w:rPr>
          <w:rFonts w:ascii="方正仿宋_GBK" w:hAnsi="方正仿宋_GBK" w:eastAsia="方正仿宋_GBK" w:cs="方正仿宋_GBK"/>
          <w:sz w:val="32"/>
          <w:szCs w:val="44"/>
        </w:rPr>
        <w:t xml:space="preserve"> 列入优先控制化学品名录内的物质（第一批优先控制化学品名录22个）。</w:t>
      </w:r>
    </w:p>
    <w:p>
      <w:pPr>
        <w:spacing w:after="156" w:afterLines="50"/>
        <w:rPr>
          <w:rFonts w:ascii="方正仿宋_GBK" w:hAnsi="方正仿宋_GBK" w:eastAsia="方正仿宋_GBK" w:cs="方正仿宋_GBK"/>
          <w:sz w:val="32"/>
          <w:szCs w:val="44"/>
        </w:rPr>
      </w:pPr>
      <w:r>
        <w:rPr>
          <w:rFonts w:ascii="方正仿宋_GBK" w:hAnsi="方正仿宋_GBK" w:eastAsia="方正仿宋_GBK" w:cs="方正仿宋_GBK"/>
          <w:sz w:val="32"/>
          <w:szCs w:val="44"/>
        </w:rPr>
        <w:drawing>
          <wp:inline distT="0" distB="0" distL="0" distR="0">
            <wp:extent cx="5274310" cy="3100705"/>
            <wp:effectExtent l="0" t="0" r="2540" b="4445"/>
            <wp:docPr id="2" name="图片 2" descr="C:\Users\hi_Ci\AppData\Local\Temp\WeChat Files\6168f6f55e0a02f09eead4de7d0b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i_Ci\AppData\Local\Temp\WeChat Files\6168f6f55e0a02f09eead4de7d0bff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101009"/>
                    </a:xfrm>
                    <a:prstGeom prst="rect">
                      <a:avLst/>
                    </a:prstGeom>
                    <a:noFill/>
                    <a:ln>
                      <a:noFill/>
                    </a:ln>
                  </pic:spPr>
                </pic:pic>
              </a:graphicData>
            </a:graphic>
          </wp:inline>
        </w:drawing>
      </w:r>
    </w:p>
    <w:tbl>
      <w:tblPr>
        <w:tblStyle w:val="6"/>
        <w:tblW w:w="8510" w:type="dxa"/>
        <w:tblInd w:w="0" w:type="dxa"/>
        <w:tblLayout w:type="autofit"/>
        <w:tblCellMar>
          <w:top w:w="0" w:type="dxa"/>
          <w:left w:w="0" w:type="dxa"/>
          <w:bottom w:w="0" w:type="dxa"/>
          <w:right w:w="0" w:type="dxa"/>
        </w:tblCellMar>
      </w:tblPr>
      <w:tblGrid>
        <w:gridCol w:w="1555"/>
        <w:gridCol w:w="3827"/>
        <w:gridCol w:w="3128"/>
      </w:tblGrid>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sz w:val="22"/>
                <w:szCs w:val="28"/>
              </w:rPr>
            </w:pPr>
            <w:r>
              <w:rPr>
                <w:rFonts w:ascii="Times New Roman" w:hAnsi="Times New Roman" w:eastAsia="宋体" w:cs="Times New Roman"/>
                <w:b/>
                <w:bCs/>
                <w:kern w:val="0"/>
                <w:sz w:val="22"/>
                <w:szCs w:val="28"/>
              </w:rPr>
              <w:t>编号</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sz w:val="22"/>
                <w:szCs w:val="28"/>
              </w:rPr>
            </w:pPr>
            <w:r>
              <w:rPr>
                <w:rFonts w:ascii="Times New Roman" w:hAnsi="Times New Roman" w:eastAsia="宋体" w:cs="Times New Roman"/>
                <w:b/>
                <w:bCs/>
                <w:kern w:val="0"/>
                <w:sz w:val="22"/>
                <w:szCs w:val="28"/>
              </w:rPr>
              <w:t>化学品名称</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b/>
                <w:bCs/>
                <w:kern w:val="0"/>
                <w:sz w:val="22"/>
                <w:szCs w:val="28"/>
              </w:rPr>
            </w:pPr>
            <w:r>
              <w:rPr>
                <w:rFonts w:ascii="Times New Roman" w:hAnsi="Times New Roman" w:eastAsia="宋体" w:cs="Times New Roman"/>
                <w:b/>
                <w:bCs/>
                <w:kern w:val="0"/>
                <w:sz w:val="22"/>
                <w:szCs w:val="28"/>
              </w:rPr>
              <w:t>CAS号</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PC001</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1,2,4-三氯苯</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120-82-1</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PC002</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1,3-丁二烯</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106-99-0</w:t>
            </w:r>
          </w:p>
        </w:tc>
      </w:tr>
      <w:tr>
        <w:tblPrEx>
          <w:tblCellMar>
            <w:top w:w="0" w:type="dxa"/>
            <w:left w:w="0" w:type="dxa"/>
            <w:bottom w:w="0" w:type="dxa"/>
            <w:right w:w="0" w:type="dxa"/>
          </w:tblCellMar>
        </w:tblPrEx>
        <w:trPr>
          <w:trHeight w:val="76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PC003</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5-叔丁基-2,4,6-三硝基间二甲苯（</w:t>
            </w:r>
            <w:r>
              <w:fldChar w:fldCharType="begin"/>
            </w:r>
            <w:r>
              <w:instrText xml:space="preserve"> HYPERLINK "http://www.mee.gov.cn/gkml/hbb/bgg/201712/W020180920585051474865.docx" </w:instrText>
            </w:r>
            <w:r>
              <w:fldChar w:fldCharType="separate"/>
            </w:r>
            <w:r>
              <w:rPr>
                <w:rFonts w:ascii="Times New Roman" w:hAnsi="Times New Roman" w:eastAsia="宋体" w:cs="Times New Roman"/>
                <w:kern w:val="0"/>
                <w:sz w:val="22"/>
                <w:szCs w:val="28"/>
              </w:rPr>
              <w:t>二甲苯麝香</w:t>
            </w:r>
            <w:r>
              <w:rPr>
                <w:rFonts w:ascii="Times New Roman" w:hAnsi="Times New Roman" w:eastAsia="宋体" w:cs="Times New Roman"/>
                <w:kern w:val="0"/>
                <w:sz w:val="22"/>
                <w:szCs w:val="28"/>
              </w:rPr>
              <w:fldChar w:fldCharType="end"/>
            </w:r>
            <w:r>
              <w:rPr>
                <w:rFonts w:ascii="Times New Roman" w:hAnsi="Times New Roman" w:eastAsia="宋体" w:cs="Times New Roman"/>
                <w:kern w:val="0"/>
                <w:sz w:val="22"/>
                <w:szCs w:val="28"/>
              </w:rPr>
              <w:t>）</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81-15-2</w:t>
            </w:r>
          </w:p>
        </w:tc>
      </w:tr>
      <w:tr>
        <w:tblPrEx>
          <w:tblCellMar>
            <w:top w:w="0" w:type="dxa"/>
            <w:left w:w="0" w:type="dxa"/>
            <w:bottom w:w="0" w:type="dxa"/>
            <w:right w:w="0" w:type="dxa"/>
          </w:tblCellMar>
        </w:tblPrEx>
        <w:trPr>
          <w:trHeight w:val="510"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PC004</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N,N'-二甲苯基-对苯二胺</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27417-40-9</w:t>
            </w:r>
          </w:p>
        </w:tc>
      </w:tr>
      <w:tr>
        <w:tblPrEx>
          <w:tblCellMar>
            <w:top w:w="0" w:type="dxa"/>
            <w:left w:w="0" w:type="dxa"/>
            <w:bottom w:w="0" w:type="dxa"/>
            <w:right w:w="0" w:type="dxa"/>
          </w:tblCellMar>
        </w:tblPrEx>
        <w:trPr>
          <w:trHeight w:val="1530"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PC005</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短链氯化石蜡</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85535-84-8</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68920-70-7</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71011-12-6</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85536-22-7</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85681-73-8</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108171-26-2</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PC006</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"http://www.mee.gov.cn/gkml/hbb/bgg/201712/W020180920585051674010.docx" </w:instrText>
            </w:r>
            <w:r>
              <w:fldChar w:fldCharType="separate"/>
            </w:r>
            <w:r>
              <w:rPr>
                <w:rFonts w:ascii="Times New Roman" w:hAnsi="Times New Roman" w:eastAsia="宋体" w:cs="Times New Roman"/>
                <w:kern w:val="0"/>
                <w:sz w:val="22"/>
                <w:szCs w:val="28"/>
              </w:rPr>
              <w:t>二氯甲烷</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75-09-2</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PC007</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"http://www.mee.gov.cn/gkml/hbb/bgg/201712/W020180920585051844764.docx" </w:instrText>
            </w:r>
            <w:r>
              <w:fldChar w:fldCharType="separate"/>
            </w:r>
            <w:r>
              <w:rPr>
                <w:rFonts w:ascii="Times New Roman" w:hAnsi="Times New Roman" w:eastAsia="宋体" w:cs="Times New Roman"/>
                <w:kern w:val="0"/>
                <w:sz w:val="22"/>
                <w:szCs w:val="28"/>
              </w:rPr>
              <w:t>镉及镉化合物</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7440-43-9(镉)</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PC008</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"http://www.mee.gov.cn/gkml/hbb/bgg/201712/W020180920585052015246.docx" </w:instrText>
            </w:r>
            <w:r>
              <w:fldChar w:fldCharType="separate"/>
            </w:r>
            <w:r>
              <w:rPr>
                <w:rFonts w:ascii="Times New Roman" w:hAnsi="Times New Roman" w:eastAsia="宋体" w:cs="Times New Roman"/>
                <w:kern w:val="0"/>
                <w:sz w:val="22"/>
                <w:szCs w:val="28"/>
              </w:rPr>
              <w:t>汞及汞化合物</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7439-97-6(汞)</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PC009</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甲醛</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50-00-0</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PC010</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"http://www.mee.gov.cn/gkml/hbb/bgg/201712/W020180920585052172453.docx" </w:instrText>
            </w:r>
            <w:r>
              <w:fldChar w:fldCharType="separate"/>
            </w:r>
            <w:r>
              <w:rPr>
                <w:rFonts w:ascii="Times New Roman" w:hAnsi="Times New Roman" w:eastAsia="宋体" w:cs="Times New Roman"/>
                <w:kern w:val="0"/>
                <w:sz w:val="22"/>
                <w:szCs w:val="28"/>
              </w:rPr>
              <w:t>六价铬化合物</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 </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PC011</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六氯代-1,3-环戊二烯</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77-47-4</w:t>
            </w:r>
          </w:p>
        </w:tc>
      </w:tr>
      <w:tr>
        <w:tblPrEx>
          <w:tblCellMar>
            <w:top w:w="0" w:type="dxa"/>
            <w:left w:w="0" w:type="dxa"/>
            <w:bottom w:w="0" w:type="dxa"/>
            <w:right w:w="0" w:type="dxa"/>
          </w:tblCellMar>
        </w:tblPrEx>
        <w:trPr>
          <w:trHeight w:val="127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PC012</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"http://www.mee.gov.cn/gkml/hbb/bgg/201712/W020180920585052341275.docx" </w:instrText>
            </w:r>
            <w:r>
              <w:fldChar w:fldCharType="separate"/>
            </w:r>
            <w:r>
              <w:rPr>
                <w:rFonts w:ascii="Times New Roman" w:hAnsi="Times New Roman" w:eastAsia="宋体" w:cs="Times New Roman"/>
                <w:kern w:val="0"/>
                <w:sz w:val="22"/>
                <w:szCs w:val="28"/>
              </w:rPr>
              <w:t>六溴环十二烷</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25637-99-4</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3194-55-6</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134237-50-6</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134237-51-7</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134237-52-8</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PC013</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"http://www.mee.gov.cn/gkml/hbb/bgg/201712/W020180920585052512449.docx" </w:instrText>
            </w:r>
            <w:r>
              <w:fldChar w:fldCharType="separate"/>
            </w:r>
            <w:r>
              <w:rPr>
                <w:rFonts w:ascii="Times New Roman" w:hAnsi="Times New Roman" w:eastAsia="宋体" w:cs="Times New Roman"/>
                <w:kern w:val="0"/>
                <w:sz w:val="22"/>
                <w:szCs w:val="28"/>
              </w:rPr>
              <w:t>萘</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91-20-3</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PC014</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"http://www.mee.gov.cn/gkml/hbb/bgg/201712/W020180920585052625526.docx" </w:instrText>
            </w:r>
            <w:r>
              <w:fldChar w:fldCharType="separate"/>
            </w:r>
            <w:r>
              <w:rPr>
                <w:rFonts w:ascii="Times New Roman" w:hAnsi="Times New Roman" w:eastAsia="宋体" w:cs="Times New Roman"/>
                <w:kern w:val="0"/>
                <w:sz w:val="22"/>
                <w:szCs w:val="28"/>
              </w:rPr>
              <w:t>铅化合物</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 </w:t>
            </w:r>
          </w:p>
        </w:tc>
      </w:tr>
      <w:tr>
        <w:tblPrEx>
          <w:tblCellMar>
            <w:top w:w="0" w:type="dxa"/>
            <w:left w:w="0" w:type="dxa"/>
            <w:bottom w:w="0" w:type="dxa"/>
            <w:right w:w="0" w:type="dxa"/>
          </w:tblCellMar>
        </w:tblPrEx>
        <w:trPr>
          <w:trHeight w:val="2040"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PC015</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"http://www.mee.gov.cn/gkml/hbb/bgg/201712/W020180920585052783054.docx" </w:instrText>
            </w:r>
            <w:r>
              <w:fldChar w:fldCharType="separate"/>
            </w:r>
            <w:r>
              <w:rPr>
                <w:rFonts w:ascii="Times New Roman" w:hAnsi="Times New Roman" w:eastAsia="宋体" w:cs="Times New Roman"/>
                <w:kern w:val="0"/>
                <w:sz w:val="22"/>
                <w:szCs w:val="28"/>
              </w:rPr>
              <w:t>全氟辛基磺酸及其盐类和全氟辛基磺酰氟</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1763-23-1</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307-35-7</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2795-39-3</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29457-72-5</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29081-56-9</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70225-14-8</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56773-42-3</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251099-16-8</w:t>
            </w:r>
          </w:p>
        </w:tc>
      </w:tr>
      <w:tr>
        <w:tblPrEx>
          <w:tblCellMar>
            <w:top w:w="0" w:type="dxa"/>
            <w:left w:w="0" w:type="dxa"/>
            <w:bottom w:w="0" w:type="dxa"/>
            <w:right w:w="0" w:type="dxa"/>
          </w:tblCellMar>
        </w:tblPrEx>
        <w:trPr>
          <w:trHeight w:val="76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PC016</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壬基酚及壬基酚聚氧乙烯醚</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25154-52-3</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84852-15-3</w:t>
            </w:r>
            <w:r>
              <w:rPr>
                <w:rFonts w:ascii="Times New Roman" w:hAnsi="Times New Roman" w:eastAsia="宋体" w:cs="Times New Roman"/>
                <w:kern w:val="0"/>
                <w:sz w:val="22"/>
                <w:szCs w:val="28"/>
              </w:rPr>
              <w:br w:type="textWrapping"/>
            </w:r>
            <w:r>
              <w:rPr>
                <w:rFonts w:ascii="Times New Roman" w:hAnsi="Times New Roman" w:eastAsia="宋体" w:cs="Times New Roman"/>
                <w:kern w:val="0"/>
                <w:sz w:val="22"/>
                <w:szCs w:val="28"/>
              </w:rPr>
              <w:t>9016-45-9</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PC017</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三氯甲烷</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67-66-3</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PC018</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三氯乙烯</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79-01-6</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PC019</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"http://www.mee.gov.cn/gkml/hbb/bgg/201712/W020180920585052945196.docx" </w:instrText>
            </w:r>
            <w:r>
              <w:fldChar w:fldCharType="separate"/>
            </w:r>
            <w:r>
              <w:rPr>
                <w:rFonts w:ascii="Times New Roman" w:hAnsi="Times New Roman" w:eastAsia="宋体" w:cs="Times New Roman"/>
                <w:kern w:val="0"/>
                <w:sz w:val="22"/>
                <w:szCs w:val="28"/>
              </w:rPr>
              <w:t>砷及砷化合物</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7440-38-2(砷)</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PC020</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十溴二苯醚</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1163-19-5</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PC021</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fldChar w:fldCharType="begin"/>
            </w:r>
            <w:r>
              <w:instrText xml:space="preserve"> HYPERLINK "http://www.mee.gov.cn/gkml/hbb/bgg/201712/W020180920585053101981.docx" </w:instrText>
            </w:r>
            <w:r>
              <w:fldChar w:fldCharType="separate"/>
            </w:r>
            <w:r>
              <w:rPr>
                <w:rFonts w:ascii="Times New Roman" w:hAnsi="Times New Roman" w:eastAsia="宋体" w:cs="Times New Roman"/>
                <w:kern w:val="0"/>
                <w:sz w:val="22"/>
                <w:szCs w:val="28"/>
              </w:rPr>
              <w:t>四氯乙烯</w:t>
            </w:r>
            <w:r>
              <w:rPr>
                <w:rFonts w:ascii="Times New Roman" w:hAnsi="Times New Roman" w:eastAsia="宋体" w:cs="Times New Roman"/>
                <w:kern w:val="0"/>
                <w:sz w:val="22"/>
                <w:szCs w:val="28"/>
              </w:rPr>
              <w:fldChar w:fldCharType="end"/>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127-18-4</w:t>
            </w:r>
          </w:p>
        </w:tc>
      </w:tr>
      <w:tr>
        <w:tblPrEx>
          <w:tblCellMar>
            <w:top w:w="0" w:type="dxa"/>
            <w:left w:w="0" w:type="dxa"/>
            <w:bottom w:w="0" w:type="dxa"/>
            <w:right w:w="0" w:type="dxa"/>
          </w:tblCellMar>
        </w:tblPrEx>
        <w:trPr>
          <w:trHeight w:val="285" w:hRule="atLeast"/>
        </w:trPr>
        <w:tc>
          <w:tcPr>
            <w:tcW w:w="15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PC022</w:t>
            </w:r>
          </w:p>
        </w:tc>
        <w:tc>
          <w:tcPr>
            <w:tcW w:w="382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乙醛</w:t>
            </w:r>
          </w:p>
        </w:tc>
        <w:tc>
          <w:tcPr>
            <w:tcW w:w="31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2"/>
                <w:szCs w:val="28"/>
              </w:rPr>
            </w:pPr>
            <w:r>
              <w:rPr>
                <w:rFonts w:ascii="Times New Roman" w:hAnsi="Times New Roman" w:eastAsia="宋体" w:cs="Times New Roman"/>
                <w:kern w:val="0"/>
                <w:sz w:val="22"/>
                <w:szCs w:val="28"/>
              </w:rPr>
              <w:t>75-07-0</w:t>
            </w:r>
          </w:p>
        </w:tc>
      </w:tr>
    </w:tbl>
    <w:p>
      <w:pPr>
        <w:rPr>
          <w:rFonts w:ascii="方正仿宋_GBK" w:hAnsi="方正仿宋_GBK" w:eastAsia="方正仿宋_GBK" w:cs="方正仿宋_GBK"/>
          <w:sz w:val="32"/>
          <w:szCs w:val="44"/>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3C0041" w:csb1="00000000"/>
  </w:font>
  <w:font w:name="Wingdings 2">
    <w:panose1 w:val="05020102010507070707"/>
    <w:charset w:val="00"/>
    <w:family w:val="auto"/>
    <w:pitch w:val="default"/>
    <w:sig w:usb0="00000000" w:usb1="00000000" w:usb2="00000000" w:usb3="00000000" w:csb0="80000000" w:csb1="00000000"/>
  </w:font>
  <w:font w:name="方正黑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sz w:val="21"/>
        <w:szCs w:val="21"/>
      </w:rP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110476856"/>
      <w:docPartObj>
        <w:docPartGallery w:val="autotext"/>
      </w:docPartObj>
    </w:sdtPr>
    <w:sdtEndPr>
      <w:rPr>
        <w:rFonts w:ascii="Times New Roman" w:hAnsi="Times New Roman" w:cs="Times New Roman"/>
        <w:sz w:val="28"/>
        <w:szCs w:val="28"/>
      </w:rPr>
    </w:sdtEndPr>
    <w:sdtContent>
      <w:p>
        <w:pPr>
          <w:pStyle w:val="4"/>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0FE"/>
    <w:rsid w:val="00072B21"/>
    <w:rsid w:val="00076D0B"/>
    <w:rsid w:val="000A5921"/>
    <w:rsid w:val="00183177"/>
    <w:rsid w:val="001B12F2"/>
    <w:rsid w:val="001D7864"/>
    <w:rsid w:val="002325FE"/>
    <w:rsid w:val="0025187B"/>
    <w:rsid w:val="00261106"/>
    <w:rsid w:val="00262D7E"/>
    <w:rsid w:val="00333727"/>
    <w:rsid w:val="003565AC"/>
    <w:rsid w:val="003762E6"/>
    <w:rsid w:val="003F594A"/>
    <w:rsid w:val="00400433"/>
    <w:rsid w:val="00402914"/>
    <w:rsid w:val="004325C6"/>
    <w:rsid w:val="004562F3"/>
    <w:rsid w:val="00456394"/>
    <w:rsid w:val="004B0D7B"/>
    <w:rsid w:val="004D0002"/>
    <w:rsid w:val="00502B7A"/>
    <w:rsid w:val="00502FCF"/>
    <w:rsid w:val="005471FB"/>
    <w:rsid w:val="0057448F"/>
    <w:rsid w:val="0058006B"/>
    <w:rsid w:val="00580677"/>
    <w:rsid w:val="00581F93"/>
    <w:rsid w:val="00586E43"/>
    <w:rsid w:val="005C5CF1"/>
    <w:rsid w:val="005D2C21"/>
    <w:rsid w:val="00627ECF"/>
    <w:rsid w:val="006424F3"/>
    <w:rsid w:val="0066143F"/>
    <w:rsid w:val="006A56F3"/>
    <w:rsid w:val="006C1298"/>
    <w:rsid w:val="006E163B"/>
    <w:rsid w:val="00700221"/>
    <w:rsid w:val="00711061"/>
    <w:rsid w:val="0074598A"/>
    <w:rsid w:val="00752127"/>
    <w:rsid w:val="00756B1B"/>
    <w:rsid w:val="00794581"/>
    <w:rsid w:val="007B399D"/>
    <w:rsid w:val="007D615C"/>
    <w:rsid w:val="00807CFE"/>
    <w:rsid w:val="00885988"/>
    <w:rsid w:val="008D09A5"/>
    <w:rsid w:val="00927B65"/>
    <w:rsid w:val="009A324F"/>
    <w:rsid w:val="009A603F"/>
    <w:rsid w:val="009A7342"/>
    <w:rsid w:val="009D5FC5"/>
    <w:rsid w:val="009F0B3B"/>
    <w:rsid w:val="00A86D4A"/>
    <w:rsid w:val="00AD5A8B"/>
    <w:rsid w:val="00B062E9"/>
    <w:rsid w:val="00B120D2"/>
    <w:rsid w:val="00B13080"/>
    <w:rsid w:val="00B437AB"/>
    <w:rsid w:val="00BA5219"/>
    <w:rsid w:val="00BD4A6F"/>
    <w:rsid w:val="00BF07BC"/>
    <w:rsid w:val="00CB1536"/>
    <w:rsid w:val="00CC1B00"/>
    <w:rsid w:val="00D12756"/>
    <w:rsid w:val="00D326D0"/>
    <w:rsid w:val="00D923F1"/>
    <w:rsid w:val="00DA17FB"/>
    <w:rsid w:val="00DB52EB"/>
    <w:rsid w:val="00DD6C5F"/>
    <w:rsid w:val="00DF5725"/>
    <w:rsid w:val="00E24D99"/>
    <w:rsid w:val="00E93729"/>
    <w:rsid w:val="00E94C20"/>
    <w:rsid w:val="00EB39D3"/>
    <w:rsid w:val="00EE40FE"/>
    <w:rsid w:val="00F21B2E"/>
    <w:rsid w:val="00F530CB"/>
    <w:rsid w:val="00F73791"/>
    <w:rsid w:val="00FC38F3"/>
    <w:rsid w:val="00FE0955"/>
    <w:rsid w:val="00FF51F2"/>
    <w:rsid w:val="04B94003"/>
    <w:rsid w:val="0947477D"/>
    <w:rsid w:val="4D9062EA"/>
    <w:rsid w:val="5BD863AC"/>
    <w:rsid w:val="668B075B"/>
    <w:rsid w:val="74FC2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qFormat/>
    <w:uiPriority w:val="0"/>
    <w:pPr>
      <w:ind w:left="0" w:leftChars="0" w:firstLine="420"/>
    </w:p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Paragraph"/>
    <w:basedOn w:val="1"/>
    <w:qFormat/>
    <w:uiPriority w:val="1"/>
    <w:pPr>
      <w:spacing w:line="240" w:lineRule="auto"/>
      <w:jc w:val="center"/>
    </w:pPr>
    <w:rPr>
      <w:rFonts w:ascii="Times New Roman" w:hAnsi="Times New Roman" w:cs="Times New Roman"/>
      <w:sz w:val="21"/>
      <w:szCs w:val="22"/>
      <w:lang w:val="zh-CN" w:bidi="zh-CN"/>
    </w:rPr>
  </w:style>
  <w:style w:type="paragraph" w:customStyle="1" w:styleId="10">
    <w:name w:val="正文_1"/>
    <w:qFormat/>
    <w:uiPriority w:val="0"/>
    <w:pPr>
      <w:widowControl w:val="0"/>
      <w:jc w:val="both"/>
    </w:pPr>
    <w:rPr>
      <w:rFonts w:ascii="Calibri" w:hAnsi="Calibri" w:eastAsia="宋体" w:cs="Times New Roman"/>
      <w:kern w:val="2"/>
      <w:sz w:val="21"/>
      <w:szCs w:val="20"/>
      <w:lang w:val="en-US" w:eastAsia="zh-CN" w:bidi="ar-SA"/>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table" w:customStyle="1" w:styleId="16">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oleObject" Target="embeddings/oleObject2.bin"/><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CF64A8-DF3A-499A-84A2-52EFB99C58BF}">
  <ds:schemaRefs/>
</ds:datastoreItem>
</file>

<file path=docProps/app.xml><?xml version="1.0" encoding="utf-8"?>
<Properties xmlns="http://schemas.openxmlformats.org/officeDocument/2006/extended-properties" xmlns:vt="http://schemas.openxmlformats.org/officeDocument/2006/docPropsVTypes">
  <Template>Normal</Template>
  <Pages>13</Pages>
  <Words>557</Words>
  <Characters>3175</Characters>
  <Lines>26</Lines>
  <Paragraphs>7</Paragraphs>
  <TotalTime>4</TotalTime>
  <ScaleCrop>false</ScaleCrop>
  <LinksUpToDate>false</LinksUpToDate>
  <CharactersWithSpaces>3725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2020-09-14T07:13:00Z</dcterms:created>
  <dc:creator>qiu</dc:creator>
  <cp:lastModifiedBy>Not alone</cp:lastModifiedBy>
  <dcterms:modified xsi:type="dcterms:W3CDTF">2021-01-04T08:29:21Z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